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0" w:type="dxa"/>
        <w:jc w:val="center"/>
        <w:tblLayout w:type="fixed"/>
        <w:tblLook w:val="0000"/>
      </w:tblPr>
      <w:tblGrid>
        <w:gridCol w:w="960"/>
        <w:gridCol w:w="6700"/>
        <w:gridCol w:w="1860"/>
      </w:tblGrid>
      <w:tr w:rsidR="00472BEF" w:rsidTr="00472BEF">
        <w:trPr>
          <w:cantSplit/>
          <w:trHeight w:val="285"/>
          <w:jc w:val="center"/>
        </w:trPr>
        <w:tc>
          <w:tcPr>
            <w:tcW w:w="9520" w:type="dxa"/>
            <w:gridSpan w:val="3"/>
            <w:tcBorders>
              <w:top w:val="single" w:sz="4" w:space="0" w:color="auto"/>
              <w:left w:val="single" w:sz="4" w:space="0" w:color="auto"/>
              <w:bottom w:val="single" w:sz="4" w:space="0" w:color="auto"/>
              <w:right w:val="single" w:sz="4" w:space="0" w:color="auto"/>
            </w:tcBorders>
            <w:vAlign w:val="center"/>
          </w:tcPr>
          <w:p w:rsidR="00472BEF" w:rsidRDefault="00472BEF" w:rsidP="00C011C1">
            <w:pPr>
              <w:rPr>
                <w:rFonts w:ascii="宋体" w:hAnsi="宋体" w:cs="宋体"/>
                <w:b/>
                <w:bCs/>
                <w:sz w:val="20"/>
                <w:szCs w:val="20"/>
              </w:rPr>
            </w:pPr>
            <w:r>
              <w:rPr>
                <w:rFonts w:ascii="宋体" w:hAnsi="宋体" w:cs="宋体" w:hint="eastAsia"/>
                <w:b/>
                <w:bCs/>
                <w:sz w:val="20"/>
                <w:szCs w:val="20"/>
              </w:rPr>
              <w:t>部门名称：市财政局（共</w:t>
            </w:r>
            <w:r w:rsidR="00311C4B">
              <w:rPr>
                <w:rFonts w:ascii="宋体" w:hAnsi="宋体" w:cs="宋体" w:hint="eastAsia"/>
                <w:b/>
                <w:bCs/>
                <w:sz w:val="20"/>
                <w:szCs w:val="20"/>
              </w:rPr>
              <w:t>47</w:t>
            </w:r>
            <w:r>
              <w:rPr>
                <w:rFonts w:ascii="宋体" w:hAnsi="宋体" w:cs="宋体" w:hint="eastAsia"/>
                <w:b/>
                <w:bCs/>
                <w:sz w:val="20"/>
                <w:szCs w:val="20"/>
              </w:rPr>
              <w:t>项）</w:t>
            </w:r>
          </w:p>
        </w:tc>
      </w:tr>
      <w:tr w:rsidR="00472BEF" w:rsidTr="00472BEF">
        <w:trPr>
          <w:cantSplit/>
          <w:trHeight w:val="285"/>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1</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中介机构从事代理记账业务审批</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行政许可</w:t>
            </w:r>
          </w:p>
        </w:tc>
      </w:tr>
      <w:tr w:rsidR="00472BEF" w:rsidTr="00472BEF">
        <w:trPr>
          <w:cantSplit/>
          <w:trHeight w:val="285"/>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2</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非营利组织免税资格认定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行政确认</w:t>
            </w:r>
          </w:p>
        </w:tc>
      </w:tr>
      <w:tr w:rsidR="00472BEF" w:rsidTr="00472BEF">
        <w:trPr>
          <w:cantSplit/>
          <w:trHeight w:val="285"/>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3</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政府采购投诉处理</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行政裁决</w:t>
            </w:r>
          </w:p>
        </w:tc>
      </w:tr>
      <w:tr w:rsidR="00472BEF" w:rsidTr="00472BEF">
        <w:trPr>
          <w:cantSplit/>
          <w:trHeight w:val="285"/>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4</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采购人、采购代理机构政府采购违法行为的处罚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480"/>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5</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采购人、采购代理机构及其工作人员恶意串通获取不正当利益、提供虚假材料、泄露标的等的处罚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480"/>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6</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采购人、采购代理机构隐匿销毁应当保存的采购文件或者伪造、变造采购文件的处罚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285"/>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7</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供应商违法行为的处罚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480"/>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8</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采购人未编制采购计划、规避招标、违规确定供应商、未依法管理合同、未依法采用非招标方式等行为的处罚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480"/>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9</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集中采购机构内部制度不健全、依法应当分设分离的岗位和人员未分设分离；将集中采购项目委托其他采购代理机构采购；从事营利活动的处罚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285"/>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10</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采购人员与供应商有利害关系而不依法回避的处罚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480"/>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11</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评审专家未依法独立评审、泄露评审情况；应回避而未回避；收受贿赂或获取其他不正当利益、存在明显不合理或不正当倾向性等行为的处罚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12</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采购人、采购代理机构应公告而未公告、不在指定媒体公告、不同媒体公告内容不一致、未按规定期限公告、公告信息不真实、排斥潜在供应商等行为的处罚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480"/>
          <w:jc w:val="center"/>
        </w:trPr>
        <w:tc>
          <w:tcPr>
            <w:tcW w:w="960" w:type="dxa"/>
            <w:tcBorders>
              <w:top w:val="nil"/>
              <w:left w:val="single" w:sz="4" w:space="0" w:color="auto"/>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1</w:t>
            </w:r>
            <w:r w:rsidR="0091446A">
              <w:rPr>
                <w:rFonts w:ascii="宋体" w:hAnsi="宋体" w:cs="宋体" w:hint="eastAsia"/>
                <w:sz w:val="20"/>
                <w:szCs w:val="20"/>
              </w:rPr>
              <w:t>3</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国有资产管理行政主管部门或者行业主管部门工作人员利用职权谋取私利，或者玩忽职守，造成国有资产损失的处罚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1</w:t>
            </w:r>
            <w:r w:rsidR="00472BEF">
              <w:rPr>
                <w:rFonts w:ascii="宋体" w:hAnsi="宋体" w:cs="宋体" w:hint="eastAsia"/>
                <w:sz w:val="20"/>
                <w:szCs w:val="20"/>
              </w:rPr>
              <w:t>4</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企业国有资产产权登记违反规定的处罚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1</w:t>
            </w:r>
            <w:r w:rsidR="00472BEF">
              <w:rPr>
                <w:rFonts w:ascii="宋体" w:hAnsi="宋体" w:cs="宋体" w:hint="eastAsia"/>
                <w:sz w:val="20"/>
                <w:szCs w:val="20"/>
              </w:rPr>
              <w:t>5</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金融企业不按照规定建立内部财务管理制度；内部财务管理制度明显与国家法律、法规和统一的财务管理规章制度相抵触，且不按财政部门要求修改的；不按照规定提供财务信息的；拒绝、阻扰依法实施的财务监督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1</w:t>
            </w:r>
            <w:r w:rsidR="00472BEF">
              <w:rPr>
                <w:rFonts w:ascii="宋体" w:hAnsi="宋体" w:cs="宋体" w:hint="eastAsia"/>
                <w:sz w:val="20"/>
                <w:szCs w:val="20"/>
              </w:rPr>
              <w:t>6</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金融企业在报送国有资本保值增值材料中存在故意漏报、瞒报以及提供虚假材料等情况的处罚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lastRenderedPageBreak/>
              <w:t>1</w:t>
            </w:r>
            <w:r w:rsidR="00472BEF">
              <w:rPr>
                <w:rFonts w:ascii="宋体" w:hAnsi="宋体" w:cs="宋体" w:hint="eastAsia"/>
                <w:sz w:val="20"/>
                <w:szCs w:val="20"/>
              </w:rPr>
              <w:t>7</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不依法设置会计账簿等的处罚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1</w:t>
            </w:r>
            <w:r w:rsidR="00472BEF">
              <w:rPr>
                <w:rFonts w:ascii="宋体" w:hAnsi="宋体" w:cs="宋体" w:hint="eastAsia"/>
                <w:sz w:val="20"/>
                <w:szCs w:val="20"/>
              </w:rPr>
              <w:t>8</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伪造、变造会计凭证、会计账簿，编制虚假财务会计报告的处罚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1</w:t>
            </w:r>
            <w:r w:rsidR="00472BEF">
              <w:rPr>
                <w:rFonts w:ascii="宋体" w:hAnsi="宋体" w:cs="宋体" w:hint="eastAsia"/>
                <w:sz w:val="20"/>
                <w:szCs w:val="20"/>
              </w:rPr>
              <w:t>9</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隐匿或者故意销毁依法应当保存的会计凭证、会计账簿、财务会计报告的处罚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2</w:t>
            </w:r>
            <w:r w:rsidR="00472BEF">
              <w:rPr>
                <w:rFonts w:ascii="宋体" w:hAnsi="宋体" w:cs="宋体" w:hint="eastAsia"/>
                <w:sz w:val="20"/>
                <w:szCs w:val="20"/>
              </w:rPr>
              <w:t>0</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授意、指使、强令会计机构、会计人员及其他人员编制、对外提供虚假的或者隐瞒重要事实的财务会计报告，或者隐匿、故意销毁依法应当保存的财务会计报告的处罚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2</w:t>
            </w:r>
            <w:r w:rsidR="00472BEF">
              <w:rPr>
                <w:rFonts w:ascii="宋体" w:hAnsi="宋体" w:cs="宋体" w:hint="eastAsia"/>
                <w:sz w:val="20"/>
                <w:szCs w:val="20"/>
              </w:rPr>
              <w:t>1</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代理记账机构采取欺骗手段获得代理记账许可证书、在经营期间未保持设立条件的处罚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2</w:t>
            </w:r>
            <w:r w:rsidR="00472BEF">
              <w:rPr>
                <w:rFonts w:ascii="宋体" w:hAnsi="宋体" w:cs="宋体" w:hint="eastAsia"/>
                <w:sz w:val="20"/>
                <w:szCs w:val="20"/>
              </w:rPr>
              <w:t>2</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对企业随意改变会计要素的确认和计量标准等的处罚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2</w:t>
            </w:r>
            <w:r w:rsidR="00472BEF">
              <w:rPr>
                <w:rFonts w:ascii="宋体" w:hAnsi="宋体" w:cs="宋体" w:hint="eastAsia"/>
                <w:sz w:val="20"/>
                <w:szCs w:val="20"/>
              </w:rPr>
              <w:t>3</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企业编制、对外提供虚假的或者隐瞒重要事实的财务会计报告的处罚、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2</w:t>
            </w:r>
            <w:r w:rsidR="00472BEF">
              <w:rPr>
                <w:rFonts w:ascii="宋体" w:hAnsi="宋体" w:cs="宋体" w:hint="eastAsia"/>
                <w:sz w:val="20"/>
                <w:szCs w:val="20"/>
              </w:rPr>
              <w:t>4</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企业和企业负有直接责任的主管人员和其他人员未按规定列支成本费用，截留、隐瞒、侵占企业收入，分配利润，处理国有资源，清偿职工债务的处罚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2</w:t>
            </w:r>
            <w:r w:rsidR="00472BEF">
              <w:rPr>
                <w:rFonts w:ascii="宋体" w:hAnsi="宋体" w:cs="宋体" w:hint="eastAsia"/>
                <w:sz w:val="20"/>
                <w:szCs w:val="20"/>
              </w:rPr>
              <w:t>5</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企业和企业负有直接责任的主管人员和其他人员未按规定建立健全内部财务管理制度、拒绝修正财务管理制度违规内容的处罚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2</w:t>
            </w:r>
            <w:r w:rsidR="00472BEF">
              <w:rPr>
                <w:rFonts w:ascii="宋体" w:hAnsi="宋体" w:cs="宋体" w:hint="eastAsia"/>
                <w:sz w:val="20"/>
                <w:szCs w:val="20"/>
              </w:rPr>
              <w:t>6</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单位和个人违反国家有关投资建设项目规定行为的处罚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27</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国家机关及其工作人员违反国家有关账户管理规定，擅自在金融机构开立、使用账户的处罚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28</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国家机关及其工作人员违反规定使用、骗取政府承贷或者担保的外国政府贷款、国际金融组织贷款的处罚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29</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不缴或者少缴财政收入的处罚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30</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违反规定使用、骗取财政资金以及政府承贷或者担保的外国政府贷款、国际金融组织贷款行为的处罚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31</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违反规定印制和使用财政票据的处罚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32</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单位和个人违反财务管理规定私存私放财政资金或者其他公款的处罚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lastRenderedPageBreak/>
              <w:t>33</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被监督对象阻挠、拒绝监督检查或者不如实提供有关资料、实物的处罚</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行政处罚</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34</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国有资本收益征收</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行政征收</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35</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单位不明确的市级非税收入征收</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行政征收</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36</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财政法律、法规、规章及政策的执行情况监督检查</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37</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财政收入监督检查</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38</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财政票据监督检查</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39</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财政专项资金监督检查</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40</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政府采购法规、政策的执行情况监督检查</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41</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社会保障基金、住房公积金等资金征收、使用和管理情况监督检查</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42</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国有资产收益收支及管理情况监督检查</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43</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国际组织和外国政府援助项目的财务收支情况监督</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44</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会计监督检查</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45</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地方商业银行和非银行金融机构的资产和财务管理情况监督检查</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46</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代理记账机构监督检查</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r w:rsidR="00472BEF" w:rsidTr="00472BEF">
        <w:trPr>
          <w:cantSplit/>
          <w:trHeight w:val="720"/>
          <w:jc w:val="center"/>
        </w:trPr>
        <w:tc>
          <w:tcPr>
            <w:tcW w:w="960" w:type="dxa"/>
            <w:tcBorders>
              <w:top w:val="nil"/>
              <w:left w:val="single" w:sz="4" w:space="0" w:color="auto"/>
              <w:bottom w:val="single" w:sz="4" w:space="0" w:color="auto"/>
              <w:right w:val="single" w:sz="4" w:space="0" w:color="auto"/>
            </w:tcBorders>
            <w:vAlign w:val="center"/>
          </w:tcPr>
          <w:p w:rsidR="00472BEF" w:rsidRDefault="0091446A" w:rsidP="00C011C1">
            <w:pPr>
              <w:jc w:val="center"/>
              <w:rPr>
                <w:rFonts w:ascii="宋体" w:hAnsi="宋体" w:cs="宋体"/>
                <w:sz w:val="20"/>
                <w:szCs w:val="20"/>
              </w:rPr>
            </w:pPr>
            <w:r>
              <w:rPr>
                <w:rFonts w:ascii="宋体" w:hAnsi="宋体" w:cs="宋体" w:hint="eastAsia"/>
                <w:sz w:val="20"/>
                <w:szCs w:val="20"/>
              </w:rPr>
              <w:t>47</w:t>
            </w:r>
          </w:p>
        </w:tc>
        <w:tc>
          <w:tcPr>
            <w:tcW w:w="6700" w:type="dxa"/>
            <w:tcBorders>
              <w:top w:val="nil"/>
              <w:left w:val="nil"/>
              <w:bottom w:val="single" w:sz="4" w:space="0" w:color="auto"/>
              <w:right w:val="single" w:sz="4" w:space="0" w:color="auto"/>
            </w:tcBorders>
            <w:vAlign w:val="center"/>
          </w:tcPr>
          <w:p w:rsidR="00472BEF" w:rsidRDefault="00472BEF" w:rsidP="00C011C1">
            <w:pPr>
              <w:rPr>
                <w:rFonts w:ascii="宋体" w:hAnsi="宋体" w:cs="宋体"/>
                <w:sz w:val="20"/>
                <w:szCs w:val="20"/>
              </w:rPr>
            </w:pPr>
            <w:r>
              <w:rPr>
                <w:rFonts w:ascii="宋体" w:hAnsi="宋体" w:cs="宋体" w:hint="eastAsia"/>
                <w:sz w:val="20"/>
                <w:szCs w:val="20"/>
              </w:rPr>
              <w:t>整改落实情况监督检查</w:t>
            </w:r>
          </w:p>
        </w:tc>
        <w:tc>
          <w:tcPr>
            <w:tcW w:w="1860" w:type="dxa"/>
            <w:tcBorders>
              <w:top w:val="nil"/>
              <w:left w:val="nil"/>
              <w:bottom w:val="single" w:sz="4" w:space="0" w:color="auto"/>
              <w:right w:val="single" w:sz="4" w:space="0" w:color="auto"/>
            </w:tcBorders>
            <w:vAlign w:val="center"/>
          </w:tcPr>
          <w:p w:rsidR="00472BEF" w:rsidRDefault="00472BEF" w:rsidP="00C011C1">
            <w:pPr>
              <w:jc w:val="center"/>
              <w:rPr>
                <w:rFonts w:ascii="宋体" w:hAnsi="宋体" w:cs="宋体"/>
                <w:sz w:val="20"/>
                <w:szCs w:val="20"/>
              </w:rPr>
            </w:pPr>
            <w:r>
              <w:rPr>
                <w:rFonts w:ascii="宋体" w:hAnsi="宋体" w:cs="宋体" w:hint="eastAsia"/>
                <w:sz w:val="20"/>
                <w:szCs w:val="20"/>
              </w:rPr>
              <w:t>行政检查</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990" w:rsidRDefault="00272990" w:rsidP="00472BEF">
      <w:pPr>
        <w:spacing w:after="0"/>
      </w:pPr>
      <w:r>
        <w:separator/>
      </w:r>
    </w:p>
  </w:endnote>
  <w:endnote w:type="continuationSeparator" w:id="0">
    <w:p w:rsidR="00272990" w:rsidRDefault="00272990" w:rsidP="00472B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990" w:rsidRDefault="00272990" w:rsidP="00472BEF">
      <w:pPr>
        <w:spacing w:after="0"/>
      </w:pPr>
      <w:r>
        <w:separator/>
      </w:r>
    </w:p>
  </w:footnote>
  <w:footnote w:type="continuationSeparator" w:id="0">
    <w:p w:rsidR="00272990" w:rsidRDefault="00272990" w:rsidP="00472BE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46DFB"/>
    <w:rsid w:val="00272990"/>
    <w:rsid w:val="00311C4B"/>
    <w:rsid w:val="00323B43"/>
    <w:rsid w:val="003D37D8"/>
    <w:rsid w:val="00421176"/>
    <w:rsid w:val="00426133"/>
    <w:rsid w:val="004358AB"/>
    <w:rsid w:val="00472BEF"/>
    <w:rsid w:val="00645BD0"/>
    <w:rsid w:val="006478C8"/>
    <w:rsid w:val="008B7726"/>
    <w:rsid w:val="0091446A"/>
    <w:rsid w:val="00D31D50"/>
    <w:rsid w:val="00E36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BE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72BEF"/>
    <w:rPr>
      <w:rFonts w:ascii="Tahoma" w:hAnsi="Tahoma"/>
      <w:sz w:val="18"/>
      <w:szCs w:val="18"/>
    </w:rPr>
  </w:style>
  <w:style w:type="paragraph" w:styleId="a4">
    <w:name w:val="footer"/>
    <w:basedOn w:val="a"/>
    <w:link w:val="Char0"/>
    <w:uiPriority w:val="99"/>
    <w:semiHidden/>
    <w:unhideWhenUsed/>
    <w:rsid w:val="00472BEF"/>
    <w:pPr>
      <w:tabs>
        <w:tab w:val="center" w:pos="4153"/>
        <w:tab w:val="right" w:pos="8306"/>
      </w:tabs>
    </w:pPr>
    <w:rPr>
      <w:sz w:val="18"/>
      <w:szCs w:val="18"/>
    </w:rPr>
  </w:style>
  <w:style w:type="character" w:customStyle="1" w:styleId="Char0">
    <w:name w:val="页脚 Char"/>
    <w:basedOn w:val="a0"/>
    <w:link w:val="a4"/>
    <w:uiPriority w:val="99"/>
    <w:semiHidden/>
    <w:rsid w:val="00472BE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cp:lastPrinted>2019-10-30T07:23:00Z</cp:lastPrinted>
  <dcterms:created xsi:type="dcterms:W3CDTF">2008-09-11T17:20:00Z</dcterms:created>
  <dcterms:modified xsi:type="dcterms:W3CDTF">2019-10-30T09:11:00Z</dcterms:modified>
</cp:coreProperties>
</file>