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6D" w:rsidRDefault="00257B6D" w:rsidP="00257B6D">
      <w:pPr>
        <w:widowControl/>
        <w:shd w:val="clear" w:color="auto" w:fill="FFFFFF"/>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附件</w:t>
      </w:r>
    </w:p>
    <w:p w:rsidR="00257B6D" w:rsidRDefault="00257B6D" w:rsidP="00257B6D">
      <w:pPr>
        <w:widowControl/>
        <w:shd w:val="clear" w:color="auto" w:fill="FFFFFF"/>
        <w:jc w:val="left"/>
        <w:rPr>
          <w:rFonts w:ascii="Arial" w:eastAsia="宋体" w:hAnsi="Arial" w:cs="Arial" w:hint="eastAsia"/>
          <w:color w:val="000000"/>
          <w:kern w:val="0"/>
          <w:sz w:val="55"/>
          <w:szCs w:val="55"/>
        </w:rPr>
      </w:pPr>
      <w:r w:rsidRPr="00257B6D">
        <w:rPr>
          <w:rFonts w:ascii="Arial" w:eastAsia="宋体" w:hAnsi="Arial" w:cs="Arial"/>
          <w:color w:val="000000"/>
          <w:kern w:val="0"/>
          <w:sz w:val="55"/>
          <w:szCs w:val="55"/>
        </w:rPr>
        <w:t>政府会计准则制度解释第</w:t>
      </w:r>
      <w:r w:rsidRPr="00257B6D">
        <w:rPr>
          <w:rFonts w:ascii="Arial" w:eastAsia="宋体" w:hAnsi="Arial" w:cs="Arial"/>
          <w:color w:val="000000"/>
          <w:kern w:val="0"/>
          <w:sz w:val="55"/>
          <w:szCs w:val="55"/>
        </w:rPr>
        <w:t>4</w:t>
      </w:r>
      <w:r w:rsidRPr="00257B6D">
        <w:rPr>
          <w:rFonts w:ascii="Arial" w:eastAsia="宋体" w:hAnsi="Arial" w:cs="Arial"/>
          <w:color w:val="000000"/>
          <w:kern w:val="0"/>
          <w:sz w:val="55"/>
          <w:szCs w:val="55"/>
        </w:rPr>
        <w:t>号</w:t>
      </w:r>
    </w:p>
    <w:p w:rsidR="00257B6D" w:rsidRDefault="00257B6D" w:rsidP="00257B6D">
      <w:pPr>
        <w:pStyle w:val="a5"/>
        <w:widowControl/>
        <w:numPr>
          <w:ilvl w:val="0"/>
          <w:numId w:val="1"/>
        </w:numPr>
        <w:shd w:val="clear" w:color="auto" w:fill="FFFFFF"/>
        <w:ind w:firstLineChars="0"/>
        <w:jc w:val="left"/>
        <w:rPr>
          <w:rFonts w:ascii="Courier New" w:eastAsia="宋体" w:hAnsi="Courier New" w:cs="Arial" w:hint="eastAsia"/>
          <w:color w:val="000000"/>
          <w:kern w:val="0"/>
          <w:sz w:val="40"/>
          <w:szCs w:val="40"/>
        </w:rPr>
      </w:pPr>
      <w:r w:rsidRPr="00257B6D">
        <w:rPr>
          <w:rFonts w:ascii="Courier New" w:eastAsia="宋体" w:hAnsi="Courier New" w:cs="Arial"/>
          <w:color w:val="000000"/>
          <w:kern w:val="0"/>
          <w:sz w:val="40"/>
          <w:szCs w:val="40"/>
        </w:rPr>
        <w:t>关于参照公务员法管理的事业单位适用的会计科目</w:t>
      </w:r>
    </w:p>
    <w:p w:rsidR="00257B6D" w:rsidRPr="00257B6D" w:rsidRDefault="00257B6D" w:rsidP="00257B6D">
      <w:pPr>
        <w:widowControl/>
        <w:shd w:val="clear" w:color="auto" w:fill="FFFFFF"/>
        <w:jc w:val="left"/>
        <w:rPr>
          <w:rFonts w:ascii="Courier New" w:eastAsia="宋体" w:hAnsi="Courier New" w:cs="Arial" w:hint="eastAsia"/>
          <w:color w:val="000000"/>
          <w:kern w:val="0"/>
          <w:sz w:val="40"/>
          <w:szCs w:val="40"/>
        </w:rPr>
      </w:pPr>
      <w:r w:rsidRPr="00257B6D">
        <w:rPr>
          <w:rFonts w:ascii="Arial" w:eastAsia="宋体" w:hAnsi="Arial" w:cs="Arial"/>
          <w:color w:val="000000"/>
          <w:kern w:val="0"/>
          <w:sz w:val="40"/>
          <w:szCs w:val="40"/>
        </w:rPr>
        <w:t>《政府会计制度</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行政事业单位会计科目和报表》（以下简称《政府会计制度》）适用于各级各类行政单位和事业单位（以下统称单位）。通常情况下，参照公务员法管理的事业单位（以下</w:t>
      </w:r>
      <w:proofErr w:type="gramStart"/>
      <w:r w:rsidRPr="00257B6D">
        <w:rPr>
          <w:rFonts w:ascii="Arial" w:eastAsia="宋体" w:hAnsi="Arial" w:cs="Arial"/>
          <w:color w:val="000000"/>
          <w:kern w:val="0"/>
          <w:sz w:val="40"/>
          <w:szCs w:val="40"/>
        </w:rPr>
        <w:t>简称参公单位</w:t>
      </w:r>
      <w:proofErr w:type="gramEnd"/>
      <w:r w:rsidRPr="00257B6D">
        <w:rPr>
          <w:rFonts w:ascii="Arial" w:eastAsia="宋体" w:hAnsi="Arial" w:cs="Arial"/>
          <w:color w:val="000000"/>
          <w:kern w:val="0"/>
          <w:sz w:val="40"/>
          <w:szCs w:val="40"/>
        </w:rPr>
        <w:t>）执行《行政单位财务规则》的，应当使用《政府会计制度》中适用于行政单位的会计科目；执行《事业单位财务规则》的，应当使用《政府会计制度</w:t>
      </w:r>
      <w:proofErr w:type="gramStart"/>
      <w:r w:rsidRPr="00257B6D">
        <w:rPr>
          <w:rFonts w:ascii="Arial" w:eastAsia="宋体" w:hAnsi="Arial" w:cs="Arial"/>
          <w:color w:val="000000"/>
          <w:kern w:val="0"/>
          <w:sz w:val="40"/>
          <w:szCs w:val="40"/>
        </w:rPr>
        <w:t>》</w:t>
      </w:r>
      <w:proofErr w:type="gramEnd"/>
      <w:r w:rsidRPr="00257B6D">
        <w:rPr>
          <w:rFonts w:ascii="Arial" w:eastAsia="宋体" w:hAnsi="Arial" w:cs="Arial"/>
          <w:color w:val="000000"/>
          <w:kern w:val="0"/>
          <w:sz w:val="40"/>
          <w:szCs w:val="40"/>
        </w:rPr>
        <w:t>中适用于事业单位的会计科目。</w:t>
      </w:r>
      <w:proofErr w:type="gramStart"/>
      <w:r w:rsidRPr="00257B6D">
        <w:rPr>
          <w:rFonts w:ascii="Arial" w:eastAsia="宋体" w:hAnsi="Arial" w:cs="Arial"/>
          <w:color w:val="000000"/>
          <w:kern w:val="0"/>
          <w:sz w:val="40"/>
          <w:szCs w:val="40"/>
        </w:rPr>
        <w:t>参公单位</w:t>
      </w:r>
      <w:proofErr w:type="gramEnd"/>
      <w:r w:rsidRPr="00257B6D">
        <w:rPr>
          <w:rFonts w:ascii="Arial" w:eastAsia="宋体" w:hAnsi="Arial" w:cs="Arial"/>
          <w:color w:val="000000"/>
          <w:kern w:val="0"/>
          <w:sz w:val="40"/>
          <w:szCs w:val="40"/>
        </w:rPr>
        <w:t>应当根据其开展的经济业务事项，并结合所执行的财务制度确定应当使用的会计科目。行政单位和事业单位专用会计科目见附录。</w:t>
      </w:r>
    </w:p>
    <w:p w:rsidR="00257B6D" w:rsidRPr="00257B6D" w:rsidRDefault="00257B6D" w:rsidP="00257B6D">
      <w:pPr>
        <w:pStyle w:val="a5"/>
        <w:widowControl/>
        <w:numPr>
          <w:ilvl w:val="0"/>
          <w:numId w:val="1"/>
        </w:numPr>
        <w:shd w:val="clear" w:color="auto" w:fill="FFFFFF"/>
        <w:ind w:firstLineChars="0"/>
        <w:jc w:val="left"/>
        <w:rPr>
          <w:rFonts w:ascii="Courier New" w:eastAsia="宋体" w:hAnsi="Courier New" w:cs="Arial" w:hint="eastAsia"/>
          <w:color w:val="000000"/>
          <w:kern w:val="0"/>
          <w:sz w:val="40"/>
          <w:szCs w:val="40"/>
        </w:rPr>
      </w:pPr>
      <w:r w:rsidRPr="00257B6D">
        <w:rPr>
          <w:rFonts w:ascii="Courier New" w:eastAsia="宋体" w:hAnsi="Courier New" w:cs="Arial"/>
          <w:color w:val="000000"/>
          <w:kern w:val="0"/>
          <w:sz w:val="40"/>
          <w:szCs w:val="40"/>
        </w:rPr>
        <w:t>关于在建工程按照估计价值转固相关会计处理</w:t>
      </w:r>
    </w:p>
    <w:p w:rsidR="00257B6D" w:rsidRDefault="00257B6D" w:rsidP="00257B6D">
      <w:pPr>
        <w:widowControl/>
        <w:shd w:val="clear" w:color="auto" w:fill="FFFFFF"/>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根据《政府会计准则第</w:t>
      </w:r>
      <w:r w:rsidRPr="00257B6D">
        <w:rPr>
          <w:rFonts w:ascii="Arial" w:eastAsia="宋体" w:hAnsi="Arial" w:cs="Arial"/>
          <w:color w:val="000000"/>
          <w:kern w:val="0"/>
          <w:sz w:val="40"/>
          <w:szCs w:val="40"/>
        </w:rPr>
        <w:t>3</w:t>
      </w:r>
      <w:r w:rsidRPr="00257B6D">
        <w:rPr>
          <w:rFonts w:ascii="Arial" w:eastAsia="宋体" w:hAnsi="Arial" w:cs="Arial"/>
          <w:color w:val="000000"/>
          <w:kern w:val="0"/>
          <w:sz w:val="40"/>
          <w:szCs w:val="40"/>
        </w:rPr>
        <w:t>号</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固定资产》（以下简称</w:t>
      </w:r>
      <w:r w:rsidRPr="00257B6D">
        <w:rPr>
          <w:rFonts w:ascii="Arial" w:eastAsia="宋体" w:hAnsi="Arial" w:cs="Arial"/>
          <w:color w:val="000000"/>
          <w:kern w:val="0"/>
          <w:sz w:val="40"/>
          <w:szCs w:val="40"/>
        </w:rPr>
        <w:t>3</w:t>
      </w:r>
      <w:r w:rsidRPr="00257B6D">
        <w:rPr>
          <w:rFonts w:ascii="Arial" w:eastAsia="宋体" w:hAnsi="Arial" w:cs="Arial"/>
          <w:color w:val="000000"/>
          <w:kern w:val="0"/>
          <w:sz w:val="40"/>
          <w:szCs w:val="40"/>
        </w:rPr>
        <w:t>号准则）、《政府会计准则第</w:t>
      </w:r>
      <w:r w:rsidRPr="00257B6D">
        <w:rPr>
          <w:rFonts w:ascii="Arial" w:eastAsia="宋体" w:hAnsi="Arial" w:cs="Arial"/>
          <w:color w:val="000000"/>
          <w:kern w:val="0"/>
          <w:sz w:val="40"/>
          <w:szCs w:val="40"/>
        </w:rPr>
        <w:t>5</w:t>
      </w:r>
      <w:r w:rsidRPr="00257B6D">
        <w:rPr>
          <w:rFonts w:ascii="Arial" w:eastAsia="宋体" w:hAnsi="Arial" w:cs="Arial"/>
          <w:color w:val="000000"/>
          <w:kern w:val="0"/>
          <w:sz w:val="40"/>
          <w:szCs w:val="40"/>
        </w:rPr>
        <w:t>号</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公共基础设施》（以下简称</w:t>
      </w:r>
      <w:r w:rsidRPr="00257B6D">
        <w:rPr>
          <w:rFonts w:ascii="Arial" w:eastAsia="宋体" w:hAnsi="Arial" w:cs="Arial"/>
          <w:color w:val="000000"/>
          <w:kern w:val="0"/>
          <w:sz w:val="40"/>
          <w:szCs w:val="40"/>
        </w:rPr>
        <w:t>5</w:t>
      </w:r>
      <w:r w:rsidRPr="00257B6D">
        <w:rPr>
          <w:rFonts w:ascii="Arial" w:eastAsia="宋体" w:hAnsi="Arial" w:cs="Arial"/>
          <w:color w:val="000000"/>
          <w:kern w:val="0"/>
          <w:sz w:val="40"/>
          <w:szCs w:val="40"/>
        </w:rPr>
        <w:t>号准则）规定，已交付使用但尚未办理竣工财务决算手续的固定</w:t>
      </w:r>
      <w:r w:rsidRPr="00257B6D">
        <w:rPr>
          <w:rFonts w:ascii="Arial" w:eastAsia="宋体" w:hAnsi="Arial" w:cs="Arial"/>
          <w:color w:val="000000"/>
          <w:kern w:val="0"/>
          <w:sz w:val="40"/>
          <w:szCs w:val="40"/>
        </w:rPr>
        <w:lastRenderedPageBreak/>
        <w:t>资产、公共基础设施，应当按照估计价值入账，待办理竣工财务决算后再按实际成本调整原来的暂估价值。</w:t>
      </w:r>
    </w:p>
    <w:p w:rsidR="00257B6D" w:rsidRP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Courier New" w:eastAsia="宋体" w:hAnsi="Courier New" w:cs="Arial"/>
          <w:color w:val="000000"/>
          <w:kern w:val="0"/>
          <w:sz w:val="40"/>
          <w:szCs w:val="40"/>
        </w:rPr>
        <w:t>估计价值的确定。</w:t>
      </w:r>
      <w:r w:rsidRPr="00257B6D">
        <w:rPr>
          <w:rFonts w:ascii="Arial" w:eastAsia="宋体" w:hAnsi="Arial" w:cs="Arial"/>
          <w:color w:val="000000"/>
          <w:kern w:val="0"/>
          <w:sz w:val="40"/>
          <w:szCs w:val="40"/>
        </w:rPr>
        <w:t>3</w:t>
      </w:r>
      <w:r w:rsidRPr="00257B6D">
        <w:rPr>
          <w:rFonts w:ascii="Arial" w:eastAsia="宋体" w:hAnsi="Arial" w:cs="Arial"/>
          <w:color w:val="000000"/>
          <w:kern w:val="0"/>
          <w:sz w:val="40"/>
          <w:szCs w:val="40"/>
        </w:rPr>
        <w:t>号准则、</w:t>
      </w:r>
      <w:r w:rsidRPr="00257B6D">
        <w:rPr>
          <w:rFonts w:ascii="Arial" w:eastAsia="宋体" w:hAnsi="Arial" w:cs="Arial"/>
          <w:color w:val="000000"/>
          <w:kern w:val="0"/>
          <w:sz w:val="40"/>
          <w:szCs w:val="40"/>
        </w:rPr>
        <w:t>5</w:t>
      </w:r>
      <w:r w:rsidRPr="00257B6D">
        <w:rPr>
          <w:rFonts w:ascii="Arial" w:eastAsia="宋体" w:hAnsi="Arial" w:cs="Arial"/>
          <w:color w:val="000000"/>
          <w:kern w:val="0"/>
          <w:sz w:val="40"/>
          <w:szCs w:val="40"/>
        </w:rPr>
        <w:t>号准则中的估计价值，是指在办理竣工财务决算前，单位在建的建设项目工程的实际成本，包括项目建设资金安排的各项支出，以及应付未付的工程价款、职工薪酬等。估计价值应当根据</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在建工程</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科目相关明细科目的账面余额确定。</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对于建设周期长、建设内容多的大型项目，单项工程已交付使用但尚未办理竣工财务决算手续的，单位应当先按照估计价值将单项工程转为固定资产、公共基础设施。对于一项在建工程涉及多项固定资产的，在建工程按照估计</w:t>
      </w:r>
      <w:proofErr w:type="gramStart"/>
      <w:r w:rsidRPr="00257B6D">
        <w:rPr>
          <w:rFonts w:ascii="Arial" w:eastAsia="宋体" w:hAnsi="Arial" w:cs="Arial"/>
          <w:color w:val="000000"/>
          <w:kern w:val="0"/>
          <w:sz w:val="40"/>
          <w:szCs w:val="40"/>
        </w:rPr>
        <w:t>价值转固时</w:t>
      </w:r>
      <w:proofErr w:type="gramEnd"/>
      <w:r w:rsidRPr="00257B6D">
        <w:rPr>
          <w:rFonts w:ascii="Arial" w:eastAsia="宋体" w:hAnsi="Arial" w:cs="Arial"/>
          <w:color w:val="000000"/>
          <w:kern w:val="0"/>
          <w:sz w:val="40"/>
          <w:szCs w:val="40"/>
        </w:rPr>
        <w:t>，单位应当分别确定各项固定资产的估计价值。</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在建工程按照估计</w:t>
      </w:r>
      <w:proofErr w:type="gramStart"/>
      <w:r w:rsidRPr="00257B6D">
        <w:rPr>
          <w:rFonts w:ascii="Arial" w:eastAsia="宋体" w:hAnsi="Arial" w:cs="Arial"/>
          <w:color w:val="000000"/>
          <w:kern w:val="0"/>
          <w:sz w:val="40"/>
          <w:szCs w:val="40"/>
        </w:rPr>
        <w:t>价值转固之后</w:t>
      </w:r>
      <w:proofErr w:type="gramEnd"/>
      <w:r w:rsidRPr="00257B6D">
        <w:rPr>
          <w:rFonts w:ascii="Arial" w:eastAsia="宋体" w:hAnsi="Arial" w:cs="Arial"/>
          <w:color w:val="000000"/>
          <w:kern w:val="0"/>
          <w:sz w:val="40"/>
          <w:szCs w:val="40"/>
        </w:rPr>
        <w:t>、办理竣工财务决算之前，发生调整已确认的应付工程价款等影响估计价值的事项，单位应当先通过</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在建工程</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科目进行会计处理，再由在建工程转入固定资产、公共基础设施。在建工程按照估计</w:t>
      </w:r>
      <w:proofErr w:type="gramStart"/>
      <w:r w:rsidRPr="00257B6D">
        <w:rPr>
          <w:rFonts w:ascii="Arial" w:eastAsia="宋体" w:hAnsi="Arial" w:cs="Arial"/>
          <w:color w:val="000000"/>
          <w:kern w:val="0"/>
          <w:sz w:val="40"/>
          <w:szCs w:val="40"/>
        </w:rPr>
        <w:t>价值转固时</w:t>
      </w:r>
      <w:proofErr w:type="gramEnd"/>
      <w:r w:rsidRPr="00257B6D">
        <w:rPr>
          <w:rFonts w:ascii="Arial" w:eastAsia="宋体" w:hAnsi="Arial" w:cs="Arial"/>
          <w:color w:val="000000"/>
          <w:kern w:val="0"/>
          <w:sz w:val="40"/>
          <w:szCs w:val="40"/>
        </w:rPr>
        <w:t>，</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lastRenderedPageBreak/>
        <w:t>单位应当将该项目的工程竣工结算书、各项费用</w:t>
      </w:r>
      <w:proofErr w:type="gramStart"/>
      <w:r w:rsidRPr="00257B6D">
        <w:rPr>
          <w:rFonts w:ascii="Arial" w:eastAsia="宋体" w:hAnsi="Arial" w:cs="Arial"/>
          <w:color w:val="000000"/>
          <w:kern w:val="0"/>
          <w:sz w:val="40"/>
          <w:szCs w:val="40"/>
        </w:rPr>
        <w:t>归集表</w:t>
      </w:r>
      <w:proofErr w:type="gramEnd"/>
      <w:r w:rsidRPr="00257B6D">
        <w:rPr>
          <w:rFonts w:ascii="Arial" w:eastAsia="宋体" w:hAnsi="Arial" w:cs="Arial"/>
          <w:color w:val="000000"/>
          <w:kern w:val="0"/>
          <w:sz w:val="40"/>
          <w:szCs w:val="40"/>
        </w:rPr>
        <w:t>或交付使用资产明细表等材料作为原始凭证。单位应当在报表附注中披露按照估计价值入账的固定资产、公共基础设施的金额。</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Courier New" w:eastAsia="宋体" w:hAnsi="Courier New" w:cs="Arial"/>
          <w:color w:val="000000"/>
          <w:kern w:val="0"/>
          <w:sz w:val="40"/>
          <w:szCs w:val="40"/>
        </w:rPr>
        <w:t>（二）按实际成本调整暂估价值的会计处理。</w:t>
      </w:r>
      <w:r w:rsidRPr="00257B6D">
        <w:rPr>
          <w:rFonts w:ascii="Arial" w:eastAsia="宋体" w:hAnsi="Arial" w:cs="Arial"/>
          <w:color w:val="000000"/>
          <w:kern w:val="0"/>
          <w:sz w:val="40"/>
          <w:szCs w:val="40"/>
        </w:rPr>
        <w:t>单位办理竣工财务决算后，按实际成本调整资产暂估价值时，应当将实际成本与暂估价值的差额计入净资产，借记或贷记</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固定资产</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公共基础设施</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科目，贷记或借记</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以前年度盈余调整</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科目。经上述调整后，应将</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以前年度盈余调整</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科目的余额转入</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累计盈余</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根据</w:t>
      </w:r>
      <w:r w:rsidRPr="00257B6D">
        <w:rPr>
          <w:rFonts w:ascii="Arial" w:eastAsia="宋体" w:hAnsi="Arial" w:cs="Arial"/>
          <w:color w:val="000000"/>
          <w:kern w:val="0"/>
          <w:sz w:val="40"/>
          <w:szCs w:val="40"/>
        </w:rPr>
        <w:t>3</w:t>
      </w:r>
      <w:r w:rsidRPr="00257B6D">
        <w:rPr>
          <w:rFonts w:ascii="Arial" w:eastAsia="宋体" w:hAnsi="Arial" w:cs="Arial"/>
          <w:color w:val="000000"/>
          <w:kern w:val="0"/>
          <w:sz w:val="40"/>
          <w:szCs w:val="40"/>
        </w:rPr>
        <w:t>号准则、</w:t>
      </w:r>
      <w:r w:rsidRPr="00257B6D">
        <w:rPr>
          <w:rFonts w:ascii="Arial" w:eastAsia="宋体" w:hAnsi="Arial" w:cs="Arial"/>
          <w:color w:val="000000"/>
          <w:kern w:val="0"/>
          <w:sz w:val="40"/>
          <w:szCs w:val="40"/>
        </w:rPr>
        <w:t>5</w:t>
      </w:r>
      <w:r w:rsidRPr="00257B6D">
        <w:rPr>
          <w:rFonts w:ascii="Arial" w:eastAsia="宋体" w:hAnsi="Arial" w:cs="Arial"/>
          <w:color w:val="000000"/>
          <w:kern w:val="0"/>
          <w:sz w:val="40"/>
          <w:szCs w:val="40"/>
        </w:rPr>
        <w:t>号准则，单位应当</w:t>
      </w:r>
      <w:proofErr w:type="gramStart"/>
      <w:r w:rsidRPr="00257B6D">
        <w:rPr>
          <w:rFonts w:ascii="Arial" w:eastAsia="宋体" w:hAnsi="Arial" w:cs="Arial"/>
          <w:color w:val="000000"/>
          <w:kern w:val="0"/>
          <w:sz w:val="40"/>
          <w:szCs w:val="40"/>
        </w:rPr>
        <w:t>对暂估入账</w:t>
      </w:r>
      <w:proofErr w:type="gramEnd"/>
      <w:r w:rsidRPr="00257B6D">
        <w:rPr>
          <w:rFonts w:ascii="Arial" w:eastAsia="宋体" w:hAnsi="Arial" w:cs="Arial"/>
          <w:color w:val="000000"/>
          <w:kern w:val="0"/>
          <w:sz w:val="40"/>
          <w:szCs w:val="40"/>
        </w:rPr>
        <w:t>的固定资产、公共基础设施计提折旧（根据政府会计准则制度规定无需计提折旧的除外），实际成本确定后不需调整原已计提的折旧额。单位按实际成本调整暂估价值后，应当以相关资产的账面价值（实际成本减去已提折旧后的金额）作为应计提折旧额，在规定的折旧年限扣除已计提折旧年限的剩余年限内计提折旧。</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单位通过</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在建工程</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科目核算的信息系统项目工程、保障性住房项目工程，应当参照上述（一）、（二）中的规定进行会计处理。</w:t>
      </w:r>
    </w:p>
    <w:p w:rsidR="00257B6D" w:rsidRDefault="00257B6D" w:rsidP="00257B6D">
      <w:pPr>
        <w:widowControl/>
        <w:shd w:val="clear" w:color="auto" w:fill="FFFFFF"/>
        <w:ind w:firstLineChars="200" w:firstLine="800"/>
        <w:jc w:val="left"/>
        <w:rPr>
          <w:rFonts w:ascii="Courier New" w:eastAsia="宋体" w:hAnsi="Courier New" w:cs="Arial" w:hint="eastAsia"/>
          <w:color w:val="000000"/>
          <w:kern w:val="0"/>
          <w:sz w:val="40"/>
          <w:szCs w:val="40"/>
        </w:rPr>
      </w:pPr>
      <w:r w:rsidRPr="00257B6D">
        <w:rPr>
          <w:rFonts w:ascii="Courier New" w:eastAsia="宋体" w:hAnsi="Courier New" w:cs="Arial"/>
          <w:color w:val="000000"/>
          <w:kern w:val="0"/>
          <w:sz w:val="40"/>
          <w:szCs w:val="40"/>
        </w:rPr>
        <w:lastRenderedPageBreak/>
        <w:t>三、关于固定资产、公共基础设施后续支出的会计处理</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Courier New" w:eastAsia="宋体" w:hAnsi="Courier New" w:cs="Arial"/>
          <w:color w:val="000000"/>
          <w:kern w:val="0"/>
          <w:sz w:val="40"/>
          <w:szCs w:val="40"/>
        </w:rPr>
        <w:t>（一）后续支出资本化和费用化的划分。</w:t>
      </w:r>
      <w:r w:rsidRPr="00257B6D">
        <w:rPr>
          <w:rFonts w:ascii="Arial" w:eastAsia="宋体" w:hAnsi="Arial" w:cs="Arial"/>
          <w:color w:val="000000"/>
          <w:kern w:val="0"/>
          <w:sz w:val="40"/>
          <w:szCs w:val="40"/>
        </w:rPr>
        <w:t>根据</w:t>
      </w:r>
      <w:r w:rsidRPr="00257B6D">
        <w:rPr>
          <w:rFonts w:ascii="Arial" w:eastAsia="宋体" w:hAnsi="Arial" w:cs="Arial"/>
          <w:color w:val="000000"/>
          <w:kern w:val="0"/>
          <w:sz w:val="40"/>
          <w:szCs w:val="40"/>
        </w:rPr>
        <w:t>3</w:t>
      </w:r>
      <w:r w:rsidRPr="00257B6D">
        <w:rPr>
          <w:rFonts w:ascii="Arial" w:eastAsia="宋体" w:hAnsi="Arial" w:cs="Arial"/>
          <w:color w:val="000000"/>
          <w:kern w:val="0"/>
          <w:sz w:val="40"/>
          <w:szCs w:val="40"/>
        </w:rPr>
        <w:t>号准则、</w:t>
      </w:r>
      <w:r w:rsidRPr="00257B6D">
        <w:rPr>
          <w:rFonts w:ascii="Arial" w:eastAsia="宋体" w:hAnsi="Arial" w:cs="Arial"/>
          <w:color w:val="000000"/>
          <w:kern w:val="0"/>
          <w:sz w:val="40"/>
          <w:szCs w:val="40"/>
        </w:rPr>
        <w:t>5</w:t>
      </w:r>
      <w:r w:rsidRPr="00257B6D">
        <w:rPr>
          <w:rFonts w:ascii="Arial" w:eastAsia="宋体" w:hAnsi="Arial" w:cs="Arial"/>
          <w:color w:val="000000"/>
          <w:kern w:val="0"/>
          <w:sz w:val="40"/>
          <w:szCs w:val="40"/>
        </w:rPr>
        <w:t>号准则，固定资产、公共基础设施在使用过程中发生的后续支出，符合资产确认条件的，应当予以资本化计入固定资产、公共基础设施成本；不符合资产确认条件的，应当在发生时计入当期费用或者其他相关资产成本。</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通常情况下，为增加使用效能或延长使用年限而发生的改建、扩建、大型维修改造等后续支出，应当计入相关资产成本；为维护正常使用而发生的日常维修、养护等后续支出，应当计入当期费用。列入部门预算支出经济分类科目中资本性支出的后续支出，应当予以资本化。</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单位应当根据上述原则，结合有关行业主管部门对维修养护、改建扩建等的规定以及本单位实际，确定本单位固定资产、公共基础设施后续支出资本化和费用化划分的具体会计政策。</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单位对于租入等不由本单位入账核算但实际使用的固定资产，发生的符合资产确认条件的后续支出，应当按照《政府会计制度》中</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长期待摊费用</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科目相关规定进行会计处理。</w:t>
      </w:r>
    </w:p>
    <w:p w:rsidR="00257B6D" w:rsidRDefault="00257B6D" w:rsidP="00257B6D">
      <w:pPr>
        <w:widowControl/>
        <w:shd w:val="clear" w:color="auto" w:fill="FFFFFF"/>
        <w:ind w:firstLineChars="200" w:firstLine="800"/>
        <w:jc w:val="left"/>
        <w:rPr>
          <w:rFonts w:ascii="Courier New" w:eastAsia="宋体" w:hAnsi="Courier New" w:cs="Arial" w:hint="eastAsia"/>
          <w:color w:val="000000"/>
          <w:kern w:val="0"/>
          <w:sz w:val="40"/>
          <w:szCs w:val="40"/>
        </w:rPr>
      </w:pPr>
      <w:r w:rsidRPr="00257B6D">
        <w:rPr>
          <w:rFonts w:ascii="Courier New" w:eastAsia="宋体" w:hAnsi="Courier New" w:cs="Arial"/>
          <w:color w:val="000000"/>
          <w:kern w:val="0"/>
          <w:sz w:val="40"/>
          <w:szCs w:val="40"/>
        </w:rPr>
        <w:lastRenderedPageBreak/>
        <w:t>（二）改建、扩建后资产成本的确定。</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根据</w:t>
      </w:r>
      <w:r w:rsidRPr="00257B6D">
        <w:rPr>
          <w:rFonts w:ascii="Arial" w:eastAsia="宋体" w:hAnsi="Arial" w:cs="Arial"/>
          <w:color w:val="000000"/>
          <w:kern w:val="0"/>
          <w:sz w:val="40"/>
          <w:szCs w:val="40"/>
        </w:rPr>
        <w:t>3</w:t>
      </w:r>
      <w:r w:rsidRPr="00257B6D">
        <w:rPr>
          <w:rFonts w:ascii="Arial" w:eastAsia="宋体" w:hAnsi="Arial" w:cs="Arial"/>
          <w:color w:val="000000"/>
          <w:kern w:val="0"/>
          <w:sz w:val="40"/>
          <w:szCs w:val="40"/>
        </w:rPr>
        <w:t>号准则、</w:t>
      </w:r>
      <w:r w:rsidRPr="00257B6D">
        <w:rPr>
          <w:rFonts w:ascii="Arial" w:eastAsia="宋体" w:hAnsi="Arial" w:cs="Arial"/>
          <w:color w:val="000000"/>
          <w:kern w:val="0"/>
          <w:sz w:val="40"/>
          <w:szCs w:val="40"/>
        </w:rPr>
        <w:t>5</w:t>
      </w:r>
      <w:r w:rsidRPr="00257B6D">
        <w:rPr>
          <w:rFonts w:ascii="Arial" w:eastAsia="宋体" w:hAnsi="Arial" w:cs="Arial"/>
          <w:color w:val="000000"/>
          <w:kern w:val="0"/>
          <w:sz w:val="40"/>
          <w:szCs w:val="40"/>
        </w:rPr>
        <w:t>号准则，在原有固定资产、公共基础设施基础上进行改建、扩建、大型维修改造等建造活动后的固定资产、公共基础设施，其成本按照原固定资产、公共基础设施账面价值加上改建、扩建、大型维修改造等建造活动发生的支出，再扣除固定资产、公共基础设施被替换部分的账面价值后的金额确定。</w:t>
      </w:r>
    </w:p>
    <w:p w:rsidR="00257B6D" w:rsidRDefault="00257B6D" w:rsidP="00257B6D">
      <w:pPr>
        <w:widowControl/>
        <w:shd w:val="clear" w:color="auto" w:fill="FFFFFF"/>
        <w:ind w:firstLineChars="200" w:firstLine="800"/>
        <w:jc w:val="left"/>
        <w:rPr>
          <w:rFonts w:ascii="Courier New" w:eastAsia="宋体" w:hAnsi="Courier New" w:cs="Arial" w:hint="eastAsia"/>
          <w:color w:val="000000"/>
          <w:kern w:val="0"/>
          <w:sz w:val="40"/>
          <w:szCs w:val="40"/>
        </w:rPr>
      </w:pPr>
      <w:r w:rsidRPr="00257B6D">
        <w:rPr>
          <w:rFonts w:ascii="Arial" w:eastAsia="宋体" w:hAnsi="Arial" w:cs="Arial"/>
          <w:color w:val="000000"/>
          <w:kern w:val="0"/>
          <w:sz w:val="40"/>
          <w:szCs w:val="40"/>
        </w:rPr>
        <w:t>被替换部分的账面价值难以确定的，单位可以采用合理的分配方法计算确定，或组织专家参照资产评估方法进行估价。单位确定被替换部分的账面价值不切实可行或不符合成本效益原则的，可以不予扣除，但应当在报表附注中予以披露。单位对于保障性住房发生的后续支出，应当参照上述（一）、（二）中的规定进行会计处理。</w:t>
      </w:r>
      <w:r w:rsidRPr="00257B6D">
        <w:rPr>
          <w:rFonts w:ascii="Courier New" w:eastAsia="宋体" w:hAnsi="Courier New" w:cs="Arial"/>
          <w:color w:val="000000"/>
          <w:kern w:val="0"/>
          <w:sz w:val="40"/>
          <w:szCs w:val="40"/>
        </w:rPr>
        <w:t>四、关于自行研究开发项目形成的无形资产成本的确定</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根据《政府会计准则第</w:t>
      </w:r>
      <w:r w:rsidRPr="00257B6D">
        <w:rPr>
          <w:rFonts w:ascii="Arial" w:eastAsia="宋体" w:hAnsi="Arial" w:cs="Arial"/>
          <w:color w:val="000000"/>
          <w:kern w:val="0"/>
          <w:sz w:val="40"/>
          <w:szCs w:val="40"/>
        </w:rPr>
        <w:t>4</w:t>
      </w:r>
      <w:r w:rsidRPr="00257B6D">
        <w:rPr>
          <w:rFonts w:ascii="Arial" w:eastAsia="宋体" w:hAnsi="Arial" w:cs="Arial"/>
          <w:color w:val="000000"/>
          <w:kern w:val="0"/>
          <w:sz w:val="40"/>
          <w:szCs w:val="40"/>
        </w:rPr>
        <w:t>号</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无形资产》（以下简称</w:t>
      </w:r>
      <w:r w:rsidRPr="00257B6D">
        <w:rPr>
          <w:rFonts w:ascii="Arial" w:eastAsia="宋体" w:hAnsi="Arial" w:cs="Arial"/>
          <w:color w:val="000000"/>
          <w:kern w:val="0"/>
          <w:sz w:val="40"/>
          <w:szCs w:val="40"/>
        </w:rPr>
        <w:t>4</w:t>
      </w:r>
      <w:r w:rsidRPr="00257B6D">
        <w:rPr>
          <w:rFonts w:ascii="Arial" w:eastAsia="宋体" w:hAnsi="Arial" w:cs="Arial"/>
          <w:color w:val="000000"/>
          <w:kern w:val="0"/>
          <w:sz w:val="40"/>
          <w:szCs w:val="40"/>
        </w:rPr>
        <w:t>号准则）规定，单位自行研究开发项目形成的无形资产，其成本包括自该项目进入开发阶段后至达到预定用途前所发生的支出总额。</w:t>
      </w:r>
    </w:p>
    <w:p w:rsidR="003476C2"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Courier New" w:eastAsia="宋体" w:hAnsi="Courier New" w:cs="Arial"/>
          <w:color w:val="000000"/>
          <w:kern w:val="0"/>
          <w:sz w:val="40"/>
          <w:szCs w:val="40"/>
        </w:rPr>
        <w:lastRenderedPageBreak/>
        <w:t>（一）自行研究开发项目的识别。</w:t>
      </w:r>
      <w:r w:rsidRPr="00257B6D">
        <w:rPr>
          <w:rFonts w:ascii="Arial" w:eastAsia="宋体" w:hAnsi="Arial" w:cs="Arial"/>
          <w:color w:val="000000"/>
          <w:kern w:val="0"/>
          <w:sz w:val="40"/>
          <w:szCs w:val="40"/>
        </w:rPr>
        <w:t>4</w:t>
      </w:r>
      <w:r w:rsidRPr="00257B6D">
        <w:rPr>
          <w:rFonts w:ascii="Arial" w:eastAsia="宋体" w:hAnsi="Arial" w:cs="Arial"/>
          <w:color w:val="000000"/>
          <w:kern w:val="0"/>
          <w:sz w:val="40"/>
          <w:szCs w:val="40"/>
        </w:rPr>
        <w:t>号准则中所指的自行研究开发项目，应当同时满足以下条件：</w:t>
      </w:r>
    </w:p>
    <w:p w:rsidR="003476C2"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1.</w:t>
      </w:r>
      <w:r w:rsidRPr="00257B6D">
        <w:rPr>
          <w:rFonts w:ascii="Arial" w:eastAsia="宋体" w:hAnsi="Arial" w:cs="Arial"/>
          <w:color w:val="000000"/>
          <w:kern w:val="0"/>
          <w:sz w:val="40"/>
          <w:szCs w:val="40"/>
        </w:rPr>
        <w:t>该项目以科技成果创造和运用为目的，预期形成至少一项科技成果。科技成果是指通过科学研究与技术开发所产生的具有实用价值的成果。</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2.</w:t>
      </w:r>
      <w:r w:rsidRPr="00257B6D">
        <w:rPr>
          <w:rFonts w:ascii="Arial" w:eastAsia="宋体" w:hAnsi="Arial" w:cs="Arial"/>
          <w:color w:val="000000"/>
          <w:kern w:val="0"/>
          <w:sz w:val="40"/>
          <w:szCs w:val="40"/>
        </w:rPr>
        <w:t>该项目的研发活动起点可以明确。例如，利用财政资金等单位外部资金设立的科研项目，可以将立项之日作为起点；利用单位自有资金设立的科研项目，可以将单位决策机构批准同意立项之日，或科研人员将研发计划书提交单位科研管理部门审核通过之日作为起点。</w:t>
      </w:r>
    </w:p>
    <w:p w:rsidR="00257B6D" w:rsidRDefault="00257B6D" w:rsidP="00257B6D">
      <w:pPr>
        <w:widowControl/>
        <w:shd w:val="clear" w:color="auto" w:fill="FFFFFF"/>
        <w:ind w:firstLineChars="200" w:firstLine="800"/>
        <w:jc w:val="left"/>
        <w:rPr>
          <w:rFonts w:ascii="Courier New" w:eastAsia="宋体" w:hAnsi="Courier New" w:cs="Arial" w:hint="eastAsia"/>
          <w:color w:val="000000"/>
          <w:kern w:val="0"/>
          <w:sz w:val="40"/>
          <w:szCs w:val="40"/>
        </w:rPr>
      </w:pPr>
      <w:r w:rsidRPr="00257B6D">
        <w:rPr>
          <w:rFonts w:ascii="Courier New" w:eastAsia="宋体" w:hAnsi="Courier New" w:cs="Arial"/>
          <w:color w:val="000000"/>
          <w:kern w:val="0"/>
          <w:sz w:val="40"/>
          <w:szCs w:val="40"/>
        </w:rPr>
        <w:t>（二）自行研究开发项目支出的范围及会计处理。</w:t>
      </w:r>
    </w:p>
    <w:p w:rsidR="00257B6D" w:rsidRPr="00257B6D" w:rsidRDefault="00257B6D" w:rsidP="00257B6D">
      <w:pPr>
        <w:widowControl/>
        <w:shd w:val="clear" w:color="auto" w:fill="FFFFFF"/>
        <w:ind w:firstLineChars="200" w:firstLine="800"/>
        <w:jc w:val="left"/>
        <w:rPr>
          <w:rFonts w:ascii="Arial" w:eastAsia="宋体" w:hAnsi="Arial" w:cs="Arial"/>
          <w:color w:val="000000"/>
          <w:kern w:val="0"/>
          <w:sz w:val="24"/>
          <w:szCs w:val="24"/>
        </w:rPr>
      </w:pPr>
      <w:r w:rsidRPr="00257B6D">
        <w:rPr>
          <w:rFonts w:ascii="Arial" w:eastAsia="宋体" w:hAnsi="Arial" w:cs="Arial"/>
          <w:color w:val="000000"/>
          <w:kern w:val="0"/>
          <w:sz w:val="40"/>
          <w:szCs w:val="40"/>
        </w:rPr>
        <w:t>4</w:t>
      </w:r>
      <w:r w:rsidRPr="00257B6D">
        <w:rPr>
          <w:rFonts w:ascii="Arial" w:eastAsia="宋体" w:hAnsi="Arial" w:cs="Arial"/>
          <w:color w:val="000000"/>
          <w:kern w:val="0"/>
          <w:sz w:val="40"/>
          <w:szCs w:val="40"/>
        </w:rPr>
        <w:t>号准则中所指的自行研究开发项目的支出，包括从事研究开发及其辅助活动（以下简称研发活动）人员计提的薪酬，研发活动领用的库存物品，研发活动使用的固定资产和无形资产计提的折旧和摊销，为研发活动支付的其他各类费</w:t>
      </w:r>
    </w:p>
    <w:p w:rsidR="00257B6D" w:rsidRDefault="00257B6D" w:rsidP="00257B6D">
      <w:pPr>
        <w:widowControl/>
        <w:shd w:val="clear" w:color="auto" w:fill="FFFFFF"/>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用等。其中，计提的薪酬根据《政府会计制度》，包括基本工资、国家统一规定的津贴补贴、规范</w:t>
      </w:r>
      <w:r w:rsidRPr="00257B6D">
        <w:rPr>
          <w:rFonts w:ascii="Arial" w:eastAsia="宋体" w:hAnsi="Arial" w:cs="Arial"/>
          <w:color w:val="000000"/>
          <w:kern w:val="0"/>
          <w:sz w:val="40"/>
          <w:szCs w:val="40"/>
        </w:rPr>
        <w:lastRenderedPageBreak/>
        <w:t>津贴补贴（绩效工资）、改革性补贴、社会保险费、住房公积金等；为研发活动支付的其他各类费用包括业务费、劳务费、水电气</w:t>
      </w:r>
      <w:proofErr w:type="gramStart"/>
      <w:r w:rsidRPr="00257B6D">
        <w:rPr>
          <w:rFonts w:ascii="Arial" w:eastAsia="宋体" w:hAnsi="Arial" w:cs="Arial"/>
          <w:color w:val="000000"/>
          <w:kern w:val="0"/>
          <w:sz w:val="40"/>
          <w:szCs w:val="40"/>
        </w:rPr>
        <w:t>暖费用</w:t>
      </w:r>
      <w:proofErr w:type="gramEnd"/>
      <w:r w:rsidRPr="00257B6D">
        <w:rPr>
          <w:rFonts w:ascii="Arial" w:eastAsia="宋体" w:hAnsi="Arial" w:cs="Arial"/>
          <w:color w:val="000000"/>
          <w:kern w:val="0"/>
          <w:sz w:val="40"/>
          <w:szCs w:val="40"/>
        </w:rPr>
        <w:t>等。</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按照《政府会计制度》的规定，单位应当先通过</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研发支出</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科目归集自行研究开发项目的支出，借记</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研发支出</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科目，贷记</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应付职工薪酬</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库存物品</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固定资产累计折旧</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无形资产累计摊销</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财政拨款收入</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银行存款</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零余额账户用款额度</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预提费用</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等科目。</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研发支出</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科目下归集的各项研发支出后续按</w:t>
      </w:r>
      <w:r w:rsidRPr="00257B6D">
        <w:rPr>
          <w:rFonts w:ascii="Arial" w:eastAsia="宋体" w:hAnsi="Arial" w:cs="Arial"/>
          <w:color w:val="000000"/>
          <w:kern w:val="0"/>
          <w:sz w:val="40"/>
          <w:szCs w:val="40"/>
        </w:rPr>
        <w:t>4</w:t>
      </w:r>
      <w:r w:rsidRPr="00257B6D">
        <w:rPr>
          <w:rFonts w:ascii="Arial" w:eastAsia="宋体" w:hAnsi="Arial" w:cs="Arial"/>
          <w:color w:val="000000"/>
          <w:kern w:val="0"/>
          <w:sz w:val="40"/>
          <w:szCs w:val="40"/>
        </w:rPr>
        <w:t>号准则相关规定转入当期费用或无形资产。</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不属于</w:t>
      </w:r>
      <w:r w:rsidRPr="00257B6D">
        <w:rPr>
          <w:rFonts w:ascii="Arial" w:eastAsia="宋体" w:hAnsi="Arial" w:cs="Arial"/>
          <w:color w:val="000000"/>
          <w:kern w:val="0"/>
          <w:sz w:val="40"/>
          <w:szCs w:val="40"/>
        </w:rPr>
        <w:t>4</w:t>
      </w:r>
      <w:r w:rsidRPr="00257B6D">
        <w:rPr>
          <w:rFonts w:ascii="Arial" w:eastAsia="宋体" w:hAnsi="Arial" w:cs="Arial"/>
          <w:color w:val="000000"/>
          <w:kern w:val="0"/>
          <w:sz w:val="40"/>
          <w:szCs w:val="40"/>
        </w:rPr>
        <w:t>号准则所指的自行研究开发项目所发生的支出，应当在实际发生时计入当期费用。</w:t>
      </w:r>
    </w:p>
    <w:p w:rsidR="00257B6D" w:rsidRDefault="00257B6D" w:rsidP="00257B6D">
      <w:pPr>
        <w:widowControl/>
        <w:shd w:val="clear" w:color="auto" w:fill="FFFFFF"/>
        <w:ind w:firstLineChars="100" w:firstLine="400"/>
        <w:jc w:val="left"/>
        <w:rPr>
          <w:rFonts w:ascii="Courier New" w:eastAsia="宋体" w:hAnsi="Courier New" w:cs="Arial" w:hint="eastAsia"/>
          <w:color w:val="000000"/>
          <w:kern w:val="0"/>
          <w:sz w:val="40"/>
          <w:szCs w:val="40"/>
        </w:rPr>
      </w:pPr>
      <w:r w:rsidRPr="00257B6D">
        <w:rPr>
          <w:rFonts w:ascii="Courier New" w:eastAsia="宋体" w:hAnsi="Courier New" w:cs="Arial"/>
          <w:color w:val="000000"/>
          <w:kern w:val="0"/>
          <w:sz w:val="40"/>
          <w:szCs w:val="40"/>
        </w:rPr>
        <w:t>（三）自行研究开发项目研究阶段和开发阶段的划分。</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根据</w:t>
      </w:r>
      <w:r w:rsidRPr="00257B6D">
        <w:rPr>
          <w:rFonts w:ascii="Arial" w:eastAsia="宋体" w:hAnsi="Arial" w:cs="Arial"/>
          <w:color w:val="000000"/>
          <w:kern w:val="0"/>
          <w:sz w:val="40"/>
          <w:szCs w:val="40"/>
        </w:rPr>
        <w:t>4</w:t>
      </w:r>
      <w:r w:rsidRPr="00257B6D">
        <w:rPr>
          <w:rFonts w:ascii="Arial" w:eastAsia="宋体" w:hAnsi="Arial" w:cs="Arial"/>
          <w:color w:val="000000"/>
          <w:kern w:val="0"/>
          <w:sz w:val="40"/>
          <w:szCs w:val="40"/>
        </w:rPr>
        <w:t>号准则规定，单位自行研究开发项目的支出，应当区分研究阶段支出与开发阶段支出。对于研究阶段的支出，应当计入当期费用。对于开发阶段的支出，先按合理方法进行归集，最终形成无形资产的，应当确认为无形资产；最终未形成无形资产的，应当计入当期费用。</w:t>
      </w:r>
    </w:p>
    <w:p w:rsidR="003476C2"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lastRenderedPageBreak/>
        <w:t>当单位自行研究开发项目预期形成的无形资产同时满足以下条件时，可以认定该自行研究开发项目进入开发阶段：</w:t>
      </w:r>
    </w:p>
    <w:p w:rsidR="003476C2"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1.</w:t>
      </w:r>
      <w:r w:rsidRPr="00257B6D">
        <w:rPr>
          <w:rFonts w:ascii="Arial" w:eastAsia="宋体" w:hAnsi="Arial" w:cs="Arial"/>
          <w:color w:val="000000"/>
          <w:kern w:val="0"/>
          <w:sz w:val="40"/>
          <w:szCs w:val="40"/>
        </w:rPr>
        <w:t>单位预期完成该无形资产以使其能够使用或出售在技术上具有可行性。</w:t>
      </w:r>
    </w:p>
    <w:p w:rsidR="003476C2"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2.</w:t>
      </w:r>
      <w:r w:rsidRPr="00257B6D">
        <w:rPr>
          <w:rFonts w:ascii="Arial" w:eastAsia="宋体" w:hAnsi="Arial" w:cs="Arial"/>
          <w:color w:val="000000"/>
          <w:kern w:val="0"/>
          <w:sz w:val="40"/>
          <w:szCs w:val="40"/>
        </w:rPr>
        <w:t>单位具有完成该无形资产并使用或出售的意图。</w:t>
      </w:r>
    </w:p>
    <w:p w:rsidR="003476C2"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3.</w:t>
      </w:r>
      <w:r w:rsidRPr="00257B6D">
        <w:rPr>
          <w:rFonts w:ascii="Arial" w:eastAsia="宋体" w:hAnsi="Arial" w:cs="Arial"/>
          <w:color w:val="000000"/>
          <w:kern w:val="0"/>
          <w:sz w:val="40"/>
          <w:szCs w:val="40"/>
        </w:rPr>
        <w:t>单位预期该无形资产能够为单位带来经济利益或服务潜能。该无形资产自身或运用该无形资产生产的产品存在市场，或者该无形资产在内部使用具有有用性。</w:t>
      </w:r>
    </w:p>
    <w:p w:rsidR="003476C2"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4.</w:t>
      </w:r>
      <w:r w:rsidRPr="00257B6D">
        <w:rPr>
          <w:rFonts w:ascii="Arial" w:eastAsia="宋体" w:hAnsi="Arial" w:cs="Arial"/>
          <w:color w:val="000000"/>
          <w:kern w:val="0"/>
          <w:sz w:val="40"/>
          <w:szCs w:val="40"/>
        </w:rPr>
        <w:t>单位具有足够的技术、财务资源和其他资源支持，以完成该无形资产的开发，并有能力使用或出售该无形资产。</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5.</w:t>
      </w:r>
      <w:r w:rsidRPr="00257B6D">
        <w:rPr>
          <w:rFonts w:ascii="Arial" w:eastAsia="宋体" w:hAnsi="Arial" w:cs="Arial"/>
          <w:color w:val="000000"/>
          <w:kern w:val="0"/>
          <w:sz w:val="40"/>
          <w:szCs w:val="40"/>
        </w:rPr>
        <w:t>归属于该无形资产开发阶段的支出能够可靠地计量。通常情况下，单位可以将样品样机试制成功、可行性研究报告通过评审等作为自行研究开发项目进入开发阶段的标志，但该时点不满足上述进入开发阶段</w:t>
      </w:r>
      <w:r w:rsidRPr="00257B6D">
        <w:rPr>
          <w:rFonts w:ascii="Arial" w:eastAsia="宋体" w:hAnsi="Arial" w:cs="Arial"/>
          <w:color w:val="000000"/>
          <w:kern w:val="0"/>
          <w:sz w:val="40"/>
          <w:szCs w:val="40"/>
        </w:rPr>
        <w:t>5</w:t>
      </w:r>
      <w:r w:rsidRPr="00257B6D">
        <w:rPr>
          <w:rFonts w:ascii="Arial" w:eastAsia="宋体" w:hAnsi="Arial" w:cs="Arial"/>
          <w:color w:val="000000"/>
          <w:kern w:val="0"/>
          <w:sz w:val="40"/>
          <w:szCs w:val="40"/>
        </w:rPr>
        <w:t>个条件的除外。</w:t>
      </w:r>
    </w:p>
    <w:p w:rsidR="00257B6D" w:rsidRDefault="00257B6D" w:rsidP="003476C2">
      <w:pPr>
        <w:widowControl/>
        <w:shd w:val="clear" w:color="auto" w:fill="FFFFFF"/>
        <w:ind w:firstLineChars="100" w:firstLine="400"/>
        <w:jc w:val="left"/>
        <w:rPr>
          <w:rFonts w:ascii="Courier New" w:eastAsia="宋体" w:hAnsi="Courier New" w:cs="Arial" w:hint="eastAsia"/>
          <w:color w:val="000000"/>
          <w:kern w:val="0"/>
          <w:sz w:val="40"/>
          <w:szCs w:val="40"/>
        </w:rPr>
      </w:pPr>
      <w:r w:rsidRPr="00257B6D">
        <w:rPr>
          <w:rFonts w:ascii="Courier New" w:eastAsia="宋体" w:hAnsi="Courier New" w:cs="Arial"/>
          <w:color w:val="000000"/>
          <w:kern w:val="0"/>
          <w:sz w:val="40"/>
          <w:szCs w:val="40"/>
        </w:rPr>
        <w:t>五、关于财政国库集中支付结余不再按权责发生制列支的相关会计处理</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lastRenderedPageBreak/>
        <w:t>根据《政府会计制度》规定，单位在年末需要做如下账</w:t>
      </w:r>
      <w:proofErr w:type="gramStart"/>
      <w:r w:rsidRPr="00257B6D">
        <w:rPr>
          <w:rFonts w:ascii="Arial" w:eastAsia="宋体" w:hAnsi="Arial" w:cs="Arial"/>
          <w:color w:val="000000"/>
          <w:kern w:val="0"/>
          <w:sz w:val="40"/>
          <w:szCs w:val="40"/>
        </w:rPr>
        <w:t>务</w:t>
      </w:r>
      <w:proofErr w:type="gramEnd"/>
      <w:r w:rsidRPr="00257B6D">
        <w:rPr>
          <w:rFonts w:ascii="Arial" w:eastAsia="宋体" w:hAnsi="Arial" w:cs="Arial"/>
          <w:color w:val="000000"/>
          <w:kern w:val="0"/>
          <w:sz w:val="40"/>
          <w:szCs w:val="40"/>
        </w:rPr>
        <w:t>处理：财政直接支付方式下，根据本年度财政直接支付预算指标数大于当年财政直接支付实际支付数的差额，在财务会计借记</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财政应返还额度</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财政直接支付</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科目，贷记</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财政拨款收入</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科目；在预算会计借记</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资金结存</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财政应返还额度</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科目，贷记</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财政拨款预算收入</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科目。财政授权支付方式下，根据本年度财政授权支付预算指标数大于零余额账户用款额度下达数的差额，在财务会计借记</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财政应返还额度</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财政授权支付</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科目，贷记</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财政拨款收入</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科目；在预算会计借记</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资金结存</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财政应返还额度</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科目，贷记</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财政拨款预算收入</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w:t>
      </w:r>
      <w:r>
        <w:rPr>
          <w:rFonts w:ascii="Arial" w:eastAsia="宋体" w:hAnsi="Arial" w:cs="Arial" w:hint="eastAsia"/>
          <w:color w:val="000000"/>
          <w:kern w:val="0"/>
          <w:sz w:val="40"/>
          <w:szCs w:val="40"/>
        </w:rPr>
        <w:t xml:space="preserve">     </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按照《国务院关于进一步深化预算管理制度改革的意见》（国发〔</w:t>
      </w:r>
      <w:r w:rsidRPr="00257B6D">
        <w:rPr>
          <w:rFonts w:ascii="Arial" w:eastAsia="宋体" w:hAnsi="Arial" w:cs="Arial"/>
          <w:color w:val="000000"/>
          <w:kern w:val="0"/>
          <w:sz w:val="40"/>
          <w:szCs w:val="40"/>
        </w:rPr>
        <w:t>2021</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5</w:t>
      </w:r>
      <w:r w:rsidRPr="00257B6D">
        <w:rPr>
          <w:rFonts w:ascii="Arial" w:eastAsia="宋体" w:hAnsi="Arial" w:cs="Arial"/>
          <w:color w:val="000000"/>
          <w:kern w:val="0"/>
          <w:sz w:val="40"/>
          <w:szCs w:val="40"/>
        </w:rPr>
        <w:t>号）规定，市县级财政国库集中支付结余不再按权责发生制列支，相关单位年末不再进行上述账务处理。中央级和省级单位根据同级财政部</w:t>
      </w:r>
      <w:proofErr w:type="gramStart"/>
      <w:r w:rsidRPr="00257B6D">
        <w:rPr>
          <w:rFonts w:ascii="Arial" w:eastAsia="宋体" w:hAnsi="Arial" w:cs="Arial"/>
          <w:color w:val="000000"/>
          <w:kern w:val="0"/>
          <w:sz w:val="40"/>
          <w:szCs w:val="40"/>
        </w:rPr>
        <w:t>门规范</w:t>
      </w:r>
      <w:proofErr w:type="gramEnd"/>
      <w:r w:rsidRPr="00257B6D">
        <w:rPr>
          <w:rFonts w:ascii="Arial" w:eastAsia="宋体" w:hAnsi="Arial" w:cs="Arial"/>
          <w:color w:val="000000"/>
          <w:kern w:val="0"/>
          <w:sz w:val="40"/>
          <w:szCs w:val="40"/>
        </w:rPr>
        <w:t>国库集中支付结余权责发生制列支的规定，相应进行会计处理。</w:t>
      </w:r>
    </w:p>
    <w:p w:rsidR="00257B6D"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Courier New" w:eastAsia="宋体" w:hAnsi="Courier New" w:cs="Arial"/>
          <w:color w:val="000000"/>
          <w:kern w:val="0"/>
          <w:sz w:val="40"/>
          <w:szCs w:val="40"/>
        </w:rPr>
        <w:t>六、关于单位取得代扣代收代征税款手续费的会计处理</w:t>
      </w:r>
      <w:r w:rsidRPr="00257B6D">
        <w:rPr>
          <w:rFonts w:ascii="Arial" w:eastAsia="宋体" w:hAnsi="Arial" w:cs="Arial"/>
          <w:color w:val="000000"/>
          <w:kern w:val="0"/>
          <w:sz w:val="40"/>
          <w:szCs w:val="40"/>
        </w:rPr>
        <w:t>单位从税务机关取得的代扣代缴、代</w:t>
      </w:r>
      <w:r w:rsidRPr="00257B6D">
        <w:rPr>
          <w:rFonts w:ascii="Arial" w:eastAsia="宋体" w:hAnsi="Arial" w:cs="Arial"/>
          <w:color w:val="000000"/>
          <w:kern w:val="0"/>
          <w:sz w:val="40"/>
          <w:szCs w:val="40"/>
        </w:rPr>
        <w:lastRenderedPageBreak/>
        <w:t>收代缴、委托代征税款手续费按规定计入本单位收入，应当按照《政府会计制度》中</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其他收入</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科目相关规定进行财务会计处理，同时按照</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其他预算收入</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科目相关规定进行预算会计处理。</w:t>
      </w:r>
    </w:p>
    <w:p w:rsidR="003476C2"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Courier New" w:eastAsia="宋体" w:hAnsi="Courier New" w:cs="Arial"/>
          <w:color w:val="000000"/>
          <w:kern w:val="0"/>
          <w:sz w:val="40"/>
          <w:szCs w:val="40"/>
        </w:rPr>
        <w:t>七、关于部门（单位）合并财务报表范围中所属事业单位的确认</w:t>
      </w:r>
      <w:r w:rsidRPr="00257B6D">
        <w:rPr>
          <w:rFonts w:ascii="Arial" w:eastAsia="宋体" w:hAnsi="Arial" w:cs="Arial"/>
          <w:color w:val="000000"/>
          <w:kern w:val="0"/>
          <w:sz w:val="40"/>
          <w:szCs w:val="40"/>
        </w:rPr>
        <w:t>《政府会计准则制度解释第</w:t>
      </w:r>
      <w:r w:rsidRPr="00257B6D">
        <w:rPr>
          <w:rFonts w:ascii="Arial" w:eastAsia="宋体" w:hAnsi="Arial" w:cs="Arial"/>
          <w:color w:val="000000"/>
          <w:kern w:val="0"/>
          <w:sz w:val="40"/>
          <w:szCs w:val="40"/>
        </w:rPr>
        <w:t>2</w:t>
      </w:r>
      <w:r w:rsidRPr="00257B6D">
        <w:rPr>
          <w:rFonts w:ascii="Arial" w:eastAsia="宋体" w:hAnsi="Arial" w:cs="Arial"/>
          <w:color w:val="000000"/>
          <w:kern w:val="0"/>
          <w:sz w:val="40"/>
          <w:szCs w:val="40"/>
        </w:rPr>
        <w:t>号》</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九、关于部门（单位）合并财务报表范围</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中的部门（单位）所属事业单位，其所属关系应当根据以下原则确认：</w:t>
      </w:r>
    </w:p>
    <w:p w:rsidR="003476C2" w:rsidRDefault="00257B6D" w:rsidP="00257B6D">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1.</w:t>
      </w:r>
      <w:r w:rsidRPr="00257B6D">
        <w:rPr>
          <w:rFonts w:ascii="Arial" w:eastAsia="宋体" w:hAnsi="Arial" w:cs="Arial"/>
          <w:color w:val="000000"/>
          <w:kern w:val="0"/>
          <w:sz w:val="40"/>
          <w:szCs w:val="40"/>
        </w:rPr>
        <w:t>存在财政预算拨款关系的事业单位，以财政预算拨款关系为基础确认所属关系。</w:t>
      </w:r>
    </w:p>
    <w:p w:rsidR="00257B6D" w:rsidRPr="003476C2" w:rsidRDefault="00257B6D" w:rsidP="003476C2">
      <w:pPr>
        <w:widowControl/>
        <w:shd w:val="clear" w:color="auto" w:fill="FFFFFF"/>
        <w:ind w:firstLineChars="200" w:firstLine="800"/>
        <w:jc w:val="left"/>
        <w:rPr>
          <w:rFonts w:ascii="Arial" w:eastAsia="宋体" w:hAnsi="Arial" w:cs="Arial" w:hint="eastAsia"/>
          <w:color w:val="000000"/>
          <w:kern w:val="0"/>
          <w:sz w:val="24"/>
          <w:szCs w:val="24"/>
        </w:rPr>
      </w:pPr>
      <w:r w:rsidRPr="00257B6D">
        <w:rPr>
          <w:rFonts w:ascii="Arial" w:eastAsia="宋体" w:hAnsi="Arial" w:cs="Arial"/>
          <w:color w:val="000000"/>
          <w:kern w:val="0"/>
          <w:sz w:val="40"/>
          <w:szCs w:val="40"/>
        </w:rPr>
        <w:t>2.</w:t>
      </w:r>
      <w:r w:rsidRPr="00257B6D">
        <w:rPr>
          <w:rFonts w:ascii="Arial" w:eastAsia="宋体" w:hAnsi="Arial" w:cs="Arial"/>
          <w:color w:val="000000"/>
          <w:kern w:val="0"/>
          <w:sz w:val="40"/>
          <w:szCs w:val="40"/>
        </w:rPr>
        <w:t>实行经费自理的事业单位，按照《事业单位法人证书》所</w:t>
      </w:r>
      <w:proofErr w:type="gramStart"/>
      <w:r w:rsidRPr="00257B6D">
        <w:rPr>
          <w:rFonts w:ascii="Arial" w:eastAsia="宋体" w:hAnsi="Arial" w:cs="Arial"/>
          <w:color w:val="000000"/>
          <w:kern w:val="0"/>
          <w:sz w:val="40"/>
          <w:szCs w:val="40"/>
        </w:rPr>
        <w:t>列举办</w:t>
      </w:r>
      <w:proofErr w:type="gramEnd"/>
      <w:r w:rsidRPr="00257B6D">
        <w:rPr>
          <w:rFonts w:ascii="Arial" w:eastAsia="宋体" w:hAnsi="Arial" w:cs="Arial"/>
          <w:color w:val="000000"/>
          <w:kern w:val="0"/>
          <w:sz w:val="40"/>
          <w:szCs w:val="40"/>
        </w:rPr>
        <w:t>单位确认所属关系。涉及两个或两个以上举办单位的，</w:t>
      </w:r>
      <w:proofErr w:type="gramStart"/>
      <w:r w:rsidRPr="00257B6D">
        <w:rPr>
          <w:rFonts w:ascii="Arial" w:eastAsia="宋体" w:hAnsi="Arial" w:cs="Arial"/>
          <w:color w:val="000000"/>
          <w:kern w:val="0"/>
          <w:sz w:val="40"/>
          <w:szCs w:val="40"/>
        </w:rPr>
        <w:t>按排</w:t>
      </w:r>
      <w:proofErr w:type="gramEnd"/>
      <w:r w:rsidRPr="00257B6D">
        <w:rPr>
          <w:rFonts w:ascii="Arial" w:eastAsia="宋体" w:hAnsi="Arial" w:cs="Arial"/>
          <w:color w:val="000000"/>
          <w:kern w:val="0"/>
          <w:sz w:val="40"/>
          <w:szCs w:val="40"/>
        </w:rPr>
        <w:t>序第一的举办单位确认，纳入</w:t>
      </w:r>
      <w:proofErr w:type="gramStart"/>
      <w:r w:rsidRPr="00257B6D">
        <w:rPr>
          <w:rFonts w:ascii="Arial" w:eastAsia="宋体" w:hAnsi="Arial" w:cs="Arial"/>
          <w:color w:val="000000"/>
          <w:kern w:val="0"/>
          <w:sz w:val="40"/>
          <w:szCs w:val="40"/>
        </w:rPr>
        <w:t>该举办</w:t>
      </w:r>
      <w:proofErr w:type="gramEnd"/>
      <w:r w:rsidRPr="00257B6D">
        <w:rPr>
          <w:rFonts w:ascii="Arial" w:eastAsia="宋体" w:hAnsi="Arial" w:cs="Arial"/>
          <w:color w:val="000000"/>
          <w:kern w:val="0"/>
          <w:sz w:val="40"/>
          <w:szCs w:val="40"/>
        </w:rPr>
        <w:t>单位的合并财务报表编制范围；举办单位之间有协议、章程或管理办法约定的，按约定执行，不得重复编报。</w:t>
      </w:r>
    </w:p>
    <w:p w:rsidR="003476C2" w:rsidRDefault="00257B6D" w:rsidP="003476C2">
      <w:pPr>
        <w:widowControl/>
        <w:shd w:val="clear" w:color="auto" w:fill="FFFFFF"/>
        <w:ind w:firstLineChars="200" w:firstLine="800"/>
        <w:jc w:val="left"/>
        <w:rPr>
          <w:rFonts w:ascii="Courier New" w:eastAsia="宋体" w:hAnsi="Courier New" w:cs="Arial" w:hint="eastAsia"/>
          <w:color w:val="000000"/>
          <w:kern w:val="0"/>
          <w:sz w:val="40"/>
          <w:szCs w:val="40"/>
        </w:rPr>
      </w:pPr>
      <w:r w:rsidRPr="00257B6D">
        <w:rPr>
          <w:rFonts w:ascii="Courier New" w:eastAsia="宋体" w:hAnsi="Courier New" w:cs="Arial"/>
          <w:color w:val="000000"/>
          <w:kern w:val="0"/>
          <w:sz w:val="40"/>
          <w:szCs w:val="40"/>
        </w:rPr>
        <w:t>八、关于部门（单位）合并财务报表的编制程序和</w:t>
      </w:r>
      <w:proofErr w:type="gramStart"/>
      <w:r w:rsidRPr="00257B6D">
        <w:rPr>
          <w:rFonts w:ascii="Courier New" w:eastAsia="宋体" w:hAnsi="Courier New" w:cs="Arial"/>
          <w:color w:val="000000"/>
          <w:kern w:val="0"/>
          <w:sz w:val="40"/>
          <w:szCs w:val="40"/>
        </w:rPr>
        <w:t>抵销</w:t>
      </w:r>
      <w:proofErr w:type="gramEnd"/>
      <w:r w:rsidRPr="00257B6D">
        <w:rPr>
          <w:rFonts w:ascii="Courier New" w:eastAsia="宋体" w:hAnsi="Courier New" w:cs="Arial"/>
          <w:color w:val="000000"/>
          <w:kern w:val="0"/>
          <w:sz w:val="40"/>
          <w:szCs w:val="40"/>
        </w:rPr>
        <w:t>事项的处理</w:t>
      </w:r>
    </w:p>
    <w:p w:rsidR="003476C2" w:rsidRDefault="00257B6D" w:rsidP="003476C2">
      <w:pPr>
        <w:widowControl/>
        <w:shd w:val="clear" w:color="auto" w:fill="FFFFFF"/>
        <w:ind w:firstLineChars="100" w:firstLine="400"/>
        <w:jc w:val="left"/>
        <w:rPr>
          <w:rFonts w:ascii="Courier New" w:eastAsia="宋体" w:hAnsi="Courier New" w:cs="Arial" w:hint="eastAsia"/>
          <w:color w:val="000000"/>
          <w:kern w:val="0"/>
          <w:sz w:val="40"/>
          <w:szCs w:val="40"/>
        </w:rPr>
      </w:pPr>
      <w:r w:rsidRPr="00257B6D">
        <w:rPr>
          <w:rFonts w:ascii="Courier New" w:eastAsia="宋体" w:hAnsi="Courier New" w:cs="Arial"/>
          <w:color w:val="000000"/>
          <w:kern w:val="0"/>
          <w:sz w:val="40"/>
          <w:szCs w:val="40"/>
        </w:rPr>
        <w:t>（一）相关基础工作要求。</w:t>
      </w:r>
    </w:p>
    <w:p w:rsidR="003476C2" w:rsidRDefault="00257B6D" w:rsidP="003476C2">
      <w:pPr>
        <w:widowControl/>
        <w:shd w:val="clear" w:color="auto" w:fill="FFFFFF"/>
        <w:ind w:firstLineChars="100" w:firstLine="4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1.</w:t>
      </w:r>
      <w:r w:rsidRPr="00257B6D">
        <w:rPr>
          <w:rFonts w:ascii="Arial" w:eastAsia="宋体" w:hAnsi="Arial" w:cs="Arial"/>
          <w:color w:val="000000"/>
          <w:kern w:val="0"/>
          <w:sz w:val="40"/>
          <w:szCs w:val="40"/>
        </w:rPr>
        <w:t>单位应当加强本部门内部单位清单的管理和更新维护，可以在会计信息系统中将统一社会</w:t>
      </w:r>
      <w:r w:rsidRPr="00257B6D">
        <w:rPr>
          <w:rFonts w:ascii="Arial" w:eastAsia="宋体" w:hAnsi="Arial" w:cs="Arial"/>
          <w:color w:val="000000"/>
          <w:kern w:val="0"/>
          <w:sz w:val="40"/>
          <w:szCs w:val="40"/>
        </w:rPr>
        <w:lastRenderedPageBreak/>
        <w:t>信用代码等作为部门内部单位的标识依据。发生内部业务或事项时，应当在明细核算或辅助核算中注明</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本部门内部单位</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w:t>
      </w:r>
    </w:p>
    <w:p w:rsidR="003476C2" w:rsidRDefault="00257B6D" w:rsidP="003476C2">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2.</w:t>
      </w:r>
      <w:r w:rsidRPr="00257B6D">
        <w:rPr>
          <w:rFonts w:ascii="Arial" w:eastAsia="宋体" w:hAnsi="Arial" w:cs="Arial"/>
          <w:color w:val="000000"/>
          <w:kern w:val="0"/>
          <w:sz w:val="40"/>
          <w:szCs w:val="40"/>
        </w:rPr>
        <w:t>单位对于经常发生的内部业务或事项，应当统一会计处理，并明确内部</w:t>
      </w:r>
      <w:proofErr w:type="gramStart"/>
      <w:r w:rsidRPr="00257B6D">
        <w:rPr>
          <w:rFonts w:ascii="Arial" w:eastAsia="宋体" w:hAnsi="Arial" w:cs="Arial"/>
          <w:color w:val="000000"/>
          <w:kern w:val="0"/>
          <w:sz w:val="40"/>
          <w:szCs w:val="40"/>
        </w:rPr>
        <w:t>抵销</w:t>
      </w:r>
      <w:proofErr w:type="gramEnd"/>
      <w:r w:rsidRPr="00257B6D">
        <w:rPr>
          <w:rFonts w:ascii="Arial" w:eastAsia="宋体" w:hAnsi="Arial" w:cs="Arial"/>
          <w:color w:val="000000"/>
          <w:kern w:val="0"/>
          <w:sz w:val="40"/>
          <w:szCs w:val="40"/>
        </w:rPr>
        <w:t>规则。</w:t>
      </w:r>
    </w:p>
    <w:p w:rsidR="003476C2" w:rsidRDefault="00257B6D" w:rsidP="003476C2">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3.</w:t>
      </w:r>
      <w:r w:rsidRPr="00257B6D">
        <w:rPr>
          <w:rFonts w:ascii="Arial" w:eastAsia="宋体" w:hAnsi="Arial" w:cs="Arial"/>
          <w:color w:val="000000"/>
          <w:kern w:val="0"/>
          <w:sz w:val="40"/>
          <w:szCs w:val="40"/>
        </w:rPr>
        <w:t>单位应当根据内部业务或事项的发生频率及金额等因素，建立符合单位实际的定期对账机制，梳理并核对内部业务或事项，及时进行会计处理和调整。</w:t>
      </w:r>
    </w:p>
    <w:p w:rsidR="003476C2" w:rsidRDefault="00257B6D" w:rsidP="003476C2">
      <w:pPr>
        <w:widowControl/>
        <w:shd w:val="clear" w:color="auto" w:fill="FFFFFF"/>
        <w:ind w:firstLineChars="100" w:firstLine="400"/>
        <w:jc w:val="left"/>
        <w:rPr>
          <w:rFonts w:ascii="Courier New" w:eastAsia="宋体" w:hAnsi="Courier New" w:cs="Arial" w:hint="eastAsia"/>
          <w:color w:val="000000"/>
          <w:kern w:val="0"/>
          <w:sz w:val="40"/>
          <w:szCs w:val="40"/>
        </w:rPr>
      </w:pPr>
      <w:r w:rsidRPr="00257B6D">
        <w:rPr>
          <w:rFonts w:ascii="Courier New" w:eastAsia="宋体" w:hAnsi="Courier New" w:cs="Arial"/>
          <w:color w:val="000000"/>
          <w:kern w:val="0"/>
          <w:sz w:val="40"/>
          <w:szCs w:val="40"/>
        </w:rPr>
        <w:t>（二）编制程序。</w:t>
      </w:r>
    </w:p>
    <w:p w:rsidR="003476C2" w:rsidRDefault="00257B6D" w:rsidP="003476C2">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单位应当根据《政府会计准则第</w:t>
      </w:r>
      <w:r w:rsidRPr="00257B6D">
        <w:rPr>
          <w:rFonts w:ascii="Arial" w:eastAsia="宋体" w:hAnsi="Arial" w:cs="Arial"/>
          <w:color w:val="000000"/>
          <w:kern w:val="0"/>
          <w:sz w:val="40"/>
          <w:szCs w:val="40"/>
        </w:rPr>
        <w:t>9</w:t>
      </w:r>
      <w:r w:rsidRPr="00257B6D">
        <w:rPr>
          <w:rFonts w:ascii="Arial" w:eastAsia="宋体" w:hAnsi="Arial" w:cs="Arial"/>
          <w:color w:val="000000"/>
          <w:kern w:val="0"/>
          <w:sz w:val="40"/>
          <w:szCs w:val="40"/>
        </w:rPr>
        <w:t>号</w:t>
      </w:r>
      <w:r w:rsidRPr="00257B6D">
        <w:rPr>
          <w:rFonts w:ascii="Arial" w:eastAsia="宋体" w:hAnsi="Arial" w:cs="Arial"/>
          <w:color w:val="000000"/>
          <w:kern w:val="0"/>
          <w:sz w:val="40"/>
          <w:szCs w:val="40"/>
        </w:rPr>
        <w:t>——</w:t>
      </w:r>
      <w:r w:rsidRPr="00257B6D">
        <w:rPr>
          <w:rFonts w:ascii="Arial" w:eastAsia="宋体" w:hAnsi="Arial" w:cs="Arial"/>
          <w:color w:val="000000"/>
          <w:kern w:val="0"/>
          <w:sz w:val="40"/>
          <w:szCs w:val="40"/>
        </w:rPr>
        <w:t>财务报表编制和列报》（以下简称</w:t>
      </w:r>
      <w:r w:rsidRPr="00257B6D">
        <w:rPr>
          <w:rFonts w:ascii="Arial" w:eastAsia="宋体" w:hAnsi="Arial" w:cs="Arial"/>
          <w:color w:val="000000"/>
          <w:kern w:val="0"/>
          <w:sz w:val="40"/>
          <w:szCs w:val="40"/>
        </w:rPr>
        <w:t>9</w:t>
      </w:r>
      <w:r w:rsidRPr="00257B6D">
        <w:rPr>
          <w:rFonts w:ascii="Arial" w:eastAsia="宋体" w:hAnsi="Arial" w:cs="Arial"/>
          <w:color w:val="000000"/>
          <w:kern w:val="0"/>
          <w:sz w:val="40"/>
          <w:szCs w:val="40"/>
        </w:rPr>
        <w:t>号准则）第十七、十八条规定的程序，编制部门（单位）合并财务报表。一般流程如下：</w:t>
      </w:r>
    </w:p>
    <w:p w:rsidR="003476C2" w:rsidRDefault="00257B6D" w:rsidP="003476C2">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1.</w:t>
      </w:r>
      <w:r w:rsidRPr="00257B6D">
        <w:rPr>
          <w:rFonts w:ascii="Arial" w:eastAsia="宋体" w:hAnsi="Arial" w:cs="Arial"/>
          <w:color w:val="000000"/>
          <w:kern w:val="0"/>
          <w:sz w:val="40"/>
          <w:szCs w:val="40"/>
        </w:rPr>
        <w:t>将需要调整的个别财务报表调整为遵循政府会计准则制度规定的统一会计政策的财务报表，以调整后的个别财务报表作为编制合并财务报表的基础。被合并主体除了应当向合并主体提供财务报表外，还应当按照</w:t>
      </w:r>
      <w:r w:rsidRPr="00257B6D">
        <w:rPr>
          <w:rFonts w:ascii="Arial" w:eastAsia="宋体" w:hAnsi="Arial" w:cs="Arial"/>
          <w:color w:val="000000"/>
          <w:kern w:val="0"/>
          <w:sz w:val="40"/>
          <w:szCs w:val="40"/>
        </w:rPr>
        <w:t>9</w:t>
      </w:r>
      <w:r w:rsidRPr="00257B6D">
        <w:rPr>
          <w:rFonts w:ascii="Arial" w:eastAsia="宋体" w:hAnsi="Arial" w:cs="Arial"/>
          <w:color w:val="000000"/>
          <w:kern w:val="0"/>
          <w:sz w:val="40"/>
          <w:szCs w:val="40"/>
        </w:rPr>
        <w:t>号准则第二十一条的规定提供有关资料。</w:t>
      </w:r>
    </w:p>
    <w:p w:rsidR="003476C2" w:rsidRDefault="00257B6D" w:rsidP="003476C2">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2.</w:t>
      </w:r>
      <w:r w:rsidRPr="00257B6D">
        <w:rPr>
          <w:rFonts w:ascii="Arial" w:eastAsia="宋体" w:hAnsi="Arial" w:cs="Arial"/>
          <w:color w:val="000000"/>
          <w:kern w:val="0"/>
          <w:sz w:val="40"/>
          <w:szCs w:val="40"/>
        </w:rPr>
        <w:t>设置合并工作底稿。</w:t>
      </w:r>
    </w:p>
    <w:p w:rsidR="003476C2" w:rsidRDefault="00257B6D" w:rsidP="003476C2">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lastRenderedPageBreak/>
        <w:t>3.</w:t>
      </w:r>
      <w:r w:rsidRPr="00257B6D">
        <w:rPr>
          <w:rFonts w:ascii="Arial" w:eastAsia="宋体" w:hAnsi="Arial" w:cs="Arial"/>
          <w:color w:val="000000"/>
          <w:kern w:val="0"/>
          <w:sz w:val="40"/>
          <w:szCs w:val="40"/>
        </w:rPr>
        <w:t>将合并主体和被合并主体个别财务报表中的资产、负债、净资产、收入和费用项目金额逐项填入合并工作底稿，并加总得出个别资产负债表、个别收入费用表各项目合计金额。</w:t>
      </w:r>
    </w:p>
    <w:p w:rsidR="003476C2" w:rsidRDefault="00257B6D" w:rsidP="003476C2">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4.</w:t>
      </w:r>
      <w:r w:rsidRPr="00257B6D">
        <w:rPr>
          <w:rFonts w:ascii="Arial" w:eastAsia="宋体" w:hAnsi="Arial" w:cs="Arial"/>
          <w:color w:val="000000"/>
          <w:kern w:val="0"/>
          <w:sz w:val="40"/>
          <w:szCs w:val="40"/>
        </w:rPr>
        <w:t>在合并工作底稿上编制</w:t>
      </w:r>
      <w:proofErr w:type="gramStart"/>
      <w:r w:rsidRPr="00257B6D">
        <w:rPr>
          <w:rFonts w:ascii="Arial" w:eastAsia="宋体" w:hAnsi="Arial" w:cs="Arial"/>
          <w:color w:val="000000"/>
          <w:kern w:val="0"/>
          <w:sz w:val="40"/>
          <w:szCs w:val="40"/>
        </w:rPr>
        <w:t>抵销</w:t>
      </w:r>
      <w:proofErr w:type="gramEnd"/>
      <w:r w:rsidRPr="00257B6D">
        <w:rPr>
          <w:rFonts w:ascii="Arial" w:eastAsia="宋体" w:hAnsi="Arial" w:cs="Arial"/>
          <w:color w:val="000000"/>
          <w:kern w:val="0"/>
          <w:sz w:val="40"/>
          <w:szCs w:val="40"/>
        </w:rPr>
        <w:t>分录，将合并主体和被合并主体之间、被合并主体相互之间发生的内部业务或事项对财务报表的影响进行</w:t>
      </w:r>
      <w:proofErr w:type="gramStart"/>
      <w:r w:rsidRPr="00257B6D">
        <w:rPr>
          <w:rFonts w:ascii="Arial" w:eastAsia="宋体" w:hAnsi="Arial" w:cs="Arial"/>
          <w:color w:val="000000"/>
          <w:kern w:val="0"/>
          <w:sz w:val="40"/>
          <w:szCs w:val="40"/>
        </w:rPr>
        <w:t>抵销</w:t>
      </w:r>
      <w:proofErr w:type="gramEnd"/>
      <w:r w:rsidRPr="00257B6D">
        <w:rPr>
          <w:rFonts w:ascii="Arial" w:eastAsia="宋体" w:hAnsi="Arial" w:cs="Arial"/>
          <w:color w:val="000000"/>
          <w:kern w:val="0"/>
          <w:sz w:val="40"/>
          <w:szCs w:val="40"/>
        </w:rPr>
        <w:t>处理。</w:t>
      </w:r>
    </w:p>
    <w:p w:rsidR="003476C2" w:rsidRDefault="00257B6D" w:rsidP="003476C2">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5.</w:t>
      </w:r>
      <w:r w:rsidRPr="00257B6D">
        <w:rPr>
          <w:rFonts w:ascii="Arial" w:eastAsia="宋体" w:hAnsi="Arial" w:cs="Arial"/>
          <w:color w:val="000000"/>
          <w:kern w:val="0"/>
          <w:sz w:val="40"/>
          <w:szCs w:val="40"/>
        </w:rPr>
        <w:t>根据合并主体和被合并主体个别财务报表各项目合计金额、</w:t>
      </w:r>
      <w:proofErr w:type="gramStart"/>
      <w:r w:rsidRPr="00257B6D">
        <w:rPr>
          <w:rFonts w:ascii="Arial" w:eastAsia="宋体" w:hAnsi="Arial" w:cs="Arial"/>
          <w:color w:val="000000"/>
          <w:kern w:val="0"/>
          <w:sz w:val="40"/>
          <w:szCs w:val="40"/>
        </w:rPr>
        <w:t>抵销</w:t>
      </w:r>
      <w:proofErr w:type="gramEnd"/>
      <w:r w:rsidRPr="00257B6D">
        <w:rPr>
          <w:rFonts w:ascii="Arial" w:eastAsia="宋体" w:hAnsi="Arial" w:cs="Arial"/>
          <w:color w:val="000000"/>
          <w:kern w:val="0"/>
          <w:sz w:val="40"/>
          <w:szCs w:val="40"/>
        </w:rPr>
        <w:t>分录发生额计算合并财务报表各项目的合并金额。</w:t>
      </w:r>
      <w:proofErr w:type="gramStart"/>
      <w:r w:rsidRPr="00257B6D">
        <w:rPr>
          <w:rFonts w:ascii="Arial" w:eastAsia="宋体" w:hAnsi="Arial" w:cs="Arial"/>
          <w:color w:val="000000"/>
          <w:kern w:val="0"/>
          <w:sz w:val="40"/>
          <w:szCs w:val="40"/>
        </w:rPr>
        <w:t>抵销</w:t>
      </w:r>
      <w:proofErr w:type="gramEnd"/>
      <w:r w:rsidRPr="00257B6D">
        <w:rPr>
          <w:rFonts w:ascii="Arial" w:eastAsia="宋体" w:hAnsi="Arial" w:cs="Arial"/>
          <w:color w:val="000000"/>
          <w:kern w:val="0"/>
          <w:sz w:val="40"/>
          <w:szCs w:val="40"/>
        </w:rPr>
        <w:t>分录涉及收入、费用项目的，除调整合并收入费用</w:t>
      </w:r>
      <w:proofErr w:type="gramStart"/>
      <w:r w:rsidRPr="00257B6D">
        <w:rPr>
          <w:rFonts w:ascii="Arial" w:eastAsia="宋体" w:hAnsi="Arial" w:cs="Arial"/>
          <w:color w:val="000000"/>
          <w:kern w:val="0"/>
          <w:sz w:val="40"/>
          <w:szCs w:val="40"/>
        </w:rPr>
        <w:t>表相应</w:t>
      </w:r>
      <w:proofErr w:type="gramEnd"/>
      <w:r w:rsidRPr="00257B6D">
        <w:rPr>
          <w:rFonts w:ascii="Arial" w:eastAsia="宋体" w:hAnsi="Arial" w:cs="Arial"/>
          <w:color w:val="000000"/>
          <w:kern w:val="0"/>
          <w:sz w:val="40"/>
          <w:szCs w:val="40"/>
        </w:rPr>
        <w:t>项目外，还应当结转调整合并资产负债表的净资产项目。</w:t>
      </w:r>
      <w:r w:rsidR="003476C2">
        <w:rPr>
          <w:rFonts w:ascii="Arial" w:eastAsia="宋体" w:hAnsi="Arial" w:cs="Arial" w:hint="eastAsia"/>
          <w:color w:val="000000"/>
          <w:kern w:val="0"/>
          <w:sz w:val="40"/>
          <w:szCs w:val="40"/>
        </w:rPr>
        <w:t xml:space="preserve"> </w:t>
      </w:r>
    </w:p>
    <w:p w:rsidR="003476C2" w:rsidRDefault="00257B6D" w:rsidP="003476C2">
      <w:pPr>
        <w:widowControl/>
        <w:shd w:val="clear" w:color="auto" w:fill="FFFFFF"/>
        <w:ind w:firstLineChars="200" w:firstLine="800"/>
        <w:jc w:val="left"/>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6.</w:t>
      </w:r>
      <w:r w:rsidRPr="00257B6D">
        <w:rPr>
          <w:rFonts w:ascii="Arial" w:eastAsia="宋体" w:hAnsi="Arial" w:cs="Arial"/>
          <w:color w:val="000000"/>
          <w:kern w:val="0"/>
          <w:sz w:val="40"/>
          <w:szCs w:val="40"/>
        </w:rPr>
        <w:t>根据合并工作底稿中计算确定的各项目合并金额，填列合并财务报表。</w:t>
      </w:r>
    </w:p>
    <w:p w:rsidR="003476C2" w:rsidRDefault="00257B6D" w:rsidP="003476C2">
      <w:pPr>
        <w:shd w:val="clear" w:color="auto" w:fill="FFFFFF"/>
        <w:rPr>
          <w:rFonts w:ascii="Arial" w:eastAsia="宋体" w:hAnsi="Arial" w:cs="Arial" w:hint="eastAsia"/>
          <w:color w:val="000000"/>
          <w:kern w:val="0"/>
          <w:sz w:val="40"/>
          <w:szCs w:val="40"/>
        </w:rPr>
      </w:pPr>
      <w:r w:rsidRPr="00257B6D">
        <w:rPr>
          <w:rFonts w:ascii="Courier New" w:eastAsia="宋体" w:hAnsi="Courier New" w:cs="Arial"/>
          <w:color w:val="000000"/>
          <w:kern w:val="0"/>
          <w:sz w:val="40"/>
          <w:szCs w:val="40"/>
        </w:rPr>
        <w:t>（三）</w:t>
      </w:r>
      <w:proofErr w:type="gramStart"/>
      <w:r w:rsidRPr="00257B6D">
        <w:rPr>
          <w:rFonts w:ascii="Courier New" w:eastAsia="宋体" w:hAnsi="Courier New" w:cs="Arial"/>
          <w:color w:val="000000"/>
          <w:kern w:val="0"/>
          <w:sz w:val="40"/>
          <w:szCs w:val="40"/>
        </w:rPr>
        <w:t>抵销</w:t>
      </w:r>
      <w:proofErr w:type="gramEnd"/>
      <w:r w:rsidRPr="00257B6D">
        <w:rPr>
          <w:rFonts w:ascii="Courier New" w:eastAsia="宋体" w:hAnsi="Courier New" w:cs="Arial"/>
          <w:color w:val="000000"/>
          <w:kern w:val="0"/>
          <w:sz w:val="40"/>
          <w:szCs w:val="40"/>
        </w:rPr>
        <w:t>内部业务或事项的会计处理。</w:t>
      </w:r>
      <w:r w:rsidRPr="00257B6D">
        <w:rPr>
          <w:rFonts w:ascii="Arial" w:eastAsia="宋体" w:hAnsi="Arial" w:cs="Arial"/>
          <w:color w:val="000000"/>
          <w:kern w:val="0"/>
          <w:sz w:val="40"/>
          <w:szCs w:val="40"/>
        </w:rPr>
        <w:t>单位应当根据</w:t>
      </w:r>
      <w:r w:rsidRPr="00257B6D">
        <w:rPr>
          <w:rFonts w:ascii="Arial" w:eastAsia="宋体" w:hAnsi="Arial" w:cs="Arial"/>
          <w:color w:val="000000"/>
          <w:kern w:val="0"/>
          <w:sz w:val="40"/>
          <w:szCs w:val="40"/>
        </w:rPr>
        <w:t>9</w:t>
      </w:r>
      <w:r w:rsidRPr="00257B6D">
        <w:rPr>
          <w:rFonts w:ascii="Arial" w:eastAsia="宋体" w:hAnsi="Arial" w:cs="Arial"/>
          <w:color w:val="000000"/>
          <w:kern w:val="0"/>
          <w:sz w:val="40"/>
          <w:szCs w:val="40"/>
        </w:rPr>
        <w:t>号准则第十八条第三款的规定，</w:t>
      </w:r>
      <w:proofErr w:type="gramStart"/>
      <w:r w:rsidRPr="00257B6D">
        <w:rPr>
          <w:rFonts w:ascii="Arial" w:eastAsia="宋体" w:hAnsi="Arial" w:cs="Arial"/>
          <w:color w:val="000000"/>
          <w:kern w:val="0"/>
          <w:sz w:val="40"/>
          <w:szCs w:val="40"/>
        </w:rPr>
        <w:t>抵销</w:t>
      </w:r>
      <w:proofErr w:type="gramEnd"/>
      <w:r w:rsidRPr="00257B6D">
        <w:rPr>
          <w:rFonts w:ascii="Arial" w:eastAsia="宋体" w:hAnsi="Arial" w:cs="Arial"/>
          <w:color w:val="000000"/>
          <w:kern w:val="0"/>
          <w:sz w:val="40"/>
          <w:szCs w:val="40"/>
        </w:rPr>
        <w:t>合并主体和被合并主体之间、被合并主体相互之间发生的债权债务、收入费用等内部业务或事项对财务报表的影响，在合并工作底稿上编制相应</w:t>
      </w:r>
      <w:proofErr w:type="gramStart"/>
      <w:r w:rsidRPr="00257B6D">
        <w:rPr>
          <w:rFonts w:ascii="Arial" w:eastAsia="宋体" w:hAnsi="Arial" w:cs="Arial"/>
          <w:color w:val="000000"/>
          <w:kern w:val="0"/>
          <w:sz w:val="40"/>
          <w:szCs w:val="40"/>
        </w:rPr>
        <w:t>抵销</w:t>
      </w:r>
      <w:proofErr w:type="gramEnd"/>
      <w:r w:rsidRPr="00257B6D">
        <w:rPr>
          <w:rFonts w:ascii="Arial" w:eastAsia="宋体" w:hAnsi="Arial" w:cs="Arial"/>
          <w:color w:val="000000"/>
          <w:kern w:val="0"/>
          <w:sz w:val="40"/>
          <w:szCs w:val="40"/>
        </w:rPr>
        <w:t>分录。</w:t>
      </w:r>
    </w:p>
    <w:p w:rsidR="003476C2" w:rsidRDefault="00257B6D" w:rsidP="003476C2">
      <w:pPr>
        <w:shd w:val="clear" w:color="auto" w:fill="FFFFFF"/>
        <w:rPr>
          <w:rFonts w:ascii="Arial" w:eastAsia="宋体" w:hAnsi="Arial" w:cs="Arial" w:hint="eastAsia"/>
          <w:color w:val="000000"/>
          <w:kern w:val="0"/>
          <w:sz w:val="40"/>
          <w:szCs w:val="40"/>
        </w:rPr>
      </w:pPr>
      <w:r w:rsidRPr="00257B6D">
        <w:rPr>
          <w:rFonts w:ascii="Arial" w:eastAsia="宋体" w:hAnsi="Arial" w:cs="Arial"/>
          <w:color w:val="000000"/>
          <w:kern w:val="0"/>
          <w:sz w:val="40"/>
          <w:szCs w:val="40"/>
        </w:rPr>
        <w:t>1.</w:t>
      </w:r>
      <w:r w:rsidRPr="00257B6D">
        <w:rPr>
          <w:rFonts w:ascii="Arial" w:eastAsia="宋体" w:hAnsi="Arial" w:cs="Arial"/>
          <w:color w:val="000000"/>
          <w:kern w:val="0"/>
          <w:sz w:val="40"/>
          <w:szCs w:val="40"/>
        </w:rPr>
        <w:t>一般情况下的</w:t>
      </w:r>
      <w:proofErr w:type="gramStart"/>
      <w:r w:rsidRPr="00257B6D">
        <w:rPr>
          <w:rFonts w:ascii="Arial" w:eastAsia="宋体" w:hAnsi="Arial" w:cs="Arial"/>
          <w:color w:val="000000"/>
          <w:kern w:val="0"/>
          <w:sz w:val="40"/>
          <w:szCs w:val="40"/>
        </w:rPr>
        <w:t>抵销</w:t>
      </w:r>
      <w:proofErr w:type="gramEnd"/>
      <w:r w:rsidRPr="00257B6D">
        <w:rPr>
          <w:rFonts w:ascii="Arial" w:eastAsia="宋体" w:hAnsi="Arial" w:cs="Arial"/>
          <w:color w:val="000000"/>
          <w:kern w:val="0"/>
          <w:sz w:val="40"/>
          <w:szCs w:val="40"/>
        </w:rPr>
        <w:t>处理。</w:t>
      </w:r>
    </w:p>
    <w:p w:rsidR="003476C2" w:rsidRDefault="003476C2" w:rsidP="003476C2">
      <w:pPr>
        <w:shd w:val="clear" w:color="auto" w:fill="FFFFFF"/>
        <w:ind w:firstLineChars="100" w:firstLine="400"/>
        <w:rPr>
          <w:rFonts w:ascii="Arial" w:eastAsia="宋体" w:hAnsi="Arial" w:cs="Arial" w:hint="eastAsia"/>
          <w:color w:val="000000"/>
          <w:kern w:val="0"/>
          <w:sz w:val="40"/>
          <w:szCs w:val="40"/>
        </w:rPr>
      </w:pPr>
      <w:r w:rsidRPr="003476C2">
        <w:rPr>
          <w:rFonts w:ascii="Arial" w:eastAsia="宋体" w:hAnsi="Arial" w:cs="Arial"/>
          <w:color w:val="000000"/>
          <w:kern w:val="0"/>
          <w:sz w:val="40"/>
          <w:szCs w:val="40"/>
        </w:rPr>
        <w:lastRenderedPageBreak/>
        <w:t>（</w:t>
      </w:r>
      <w:r w:rsidRPr="003476C2">
        <w:rPr>
          <w:rFonts w:ascii="Arial" w:eastAsia="宋体" w:hAnsi="Arial" w:cs="Arial"/>
          <w:color w:val="000000"/>
          <w:kern w:val="0"/>
          <w:sz w:val="40"/>
          <w:szCs w:val="40"/>
        </w:rPr>
        <w:t>1</w:t>
      </w:r>
      <w:r w:rsidRPr="003476C2">
        <w:rPr>
          <w:rFonts w:ascii="Arial" w:eastAsia="宋体" w:hAnsi="Arial" w:cs="Arial"/>
          <w:color w:val="000000"/>
          <w:kern w:val="0"/>
          <w:sz w:val="40"/>
          <w:szCs w:val="40"/>
        </w:rPr>
        <w:t>）</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部门内部单位之间的债权（含应收款项坏账准备）和债务项目。在编制</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分录时，应当按照内部债权债务的金额，借记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应付票据</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应付账款</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预收账款</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其他应付款</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长期应付款</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等项目，贷记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应收票据</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应收账款净额</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预付账款</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其他应收款净额</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等项目。其中，债权方对应收款项已计提坏账准备的</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单位还应当分别以下情况编制</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分录：</w:t>
      </w:r>
      <w:r w:rsidRPr="003476C2">
        <w:rPr>
          <w:rFonts w:ascii="宋体" w:eastAsia="宋体" w:hAnsi="宋体" w:cs="宋体"/>
          <w:color w:val="000000"/>
          <w:kern w:val="0"/>
          <w:sz w:val="40"/>
          <w:szCs w:val="40"/>
        </w:rPr>
        <w:t>①</w:t>
      </w:r>
      <w:r w:rsidRPr="003476C2">
        <w:rPr>
          <w:rFonts w:ascii="Arial" w:eastAsia="宋体" w:hAnsi="Arial" w:cs="Arial"/>
          <w:color w:val="000000"/>
          <w:kern w:val="0"/>
          <w:sz w:val="40"/>
          <w:szCs w:val="40"/>
        </w:rPr>
        <w:t>初次编制合并报表的，按照内部应收款项计提的坏账准备的金额，借记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应收账款净额</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坏账准备</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其他应收款净额</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坏账准备</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项目，贷记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其他费用</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项目。</w:t>
      </w:r>
      <w:r w:rsidRPr="003476C2">
        <w:rPr>
          <w:rFonts w:ascii="宋体" w:eastAsia="宋体" w:hAnsi="宋体" w:cs="宋体"/>
          <w:color w:val="000000"/>
          <w:kern w:val="0"/>
          <w:sz w:val="40"/>
          <w:szCs w:val="40"/>
        </w:rPr>
        <w:t>②</w:t>
      </w:r>
      <w:r w:rsidRPr="003476C2">
        <w:rPr>
          <w:rFonts w:ascii="Arial" w:eastAsia="宋体" w:hAnsi="Arial" w:cs="Arial"/>
          <w:color w:val="000000"/>
          <w:kern w:val="0"/>
          <w:sz w:val="40"/>
          <w:szCs w:val="40"/>
        </w:rPr>
        <w:t>连续编制合并报表的。先按照上期</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的内部应收款项计提的坏账准备的金额</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借记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应收账款净额</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坏账准备</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其他应收款净额</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坏账准备</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项目</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贷记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累计盈余</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年初</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项目。再按照本期个别资产负债表中期末内部应收款项相对应坏账准备的增加额</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借记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应收账款净额</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坏账准备</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其他应收款净额</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坏账准备</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项目</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贷记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其他费用</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项目。本期个别资产负债表中期末内部应收款项所对应坏账准备金额减少的</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做相反分录。</w:t>
      </w:r>
    </w:p>
    <w:p w:rsidR="003476C2" w:rsidRDefault="003476C2" w:rsidP="003476C2">
      <w:pPr>
        <w:shd w:val="clear" w:color="auto" w:fill="FFFFFF"/>
        <w:ind w:firstLineChars="100" w:firstLine="400"/>
        <w:rPr>
          <w:rFonts w:ascii="Arial" w:eastAsia="宋体" w:hAnsi="Arial" w:cs="Arial" w:hint="eastAsia"/>
          <w:color w:val="000000"/>
          <w:kern w:val="0"/>
          <w:sz w:val="40"/>
          <w:szCs w:val="40"/>
        </w:rPr>
      </w:pP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2</w:t>
      </w:r>
      <w:r w:rsidRPr="003476C2">
        <w:rPr>
          <w:rFonts w:ascii="Arial" w:eastAsia="宋体" w:hAnsi="Arial" w:cs="Arial"/>
          <w:color w:val="000000"/>
          <w:kern w:val="0"/>
          <w:sz w:val="40"/>
          <w:szCs w:val="40"/>
        </w:rPr>
        <w:t>）</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部门内部单位之间的上级补助收入</w:t>
      </w:r>
      <w:r w:rsidRPr="003476C2">
        <w:rPr>
          <w:rFonts w:ascii="Arial" w:eastAsia="宋体" w:hAnsi="Arial" w:cs="Arial"/>
          <w:color w:val="000000"/>
          <w:kern w:val="0"/>
          <w:sz w:val="40"/>
          <w:szCs w:val="40"/>
        </w:rPr>
        <w:lastRenderedPageBreak/>
        <w:t>和对附属单位补助费用项目。在编制</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分录时，应当按照上级单位对附属单位补助的金额，借记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上级补助收入</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项目，贷记</w:t>
      </w:r>
      <w:r w:rsidRPr="003476C2">
        <w:rPr>
          <w:rFonts w:ascii="Arial" w:eastAsia="宋体" w:hAnsi="Arial" w:cs="Arial"/>
          <w:color w:val="000000"/>
          <w:kern w:val="0"/>
          <w:sz w:val="40"/>
          <w:szCs w:val="40"/>
        </w:rPr>
        <w:t xml:space="preserve"> “</w:t>
      </w:r>
      <w:r w:rsidRPr="003476C2">
        <w:rPr>
          <w:rFonts w:ascii="Arial" w:eastAsia="宋体" w:hAnsi="Arial" w:cs="Arial"/>
          <w:color w:val="000000"/>
          <w:kern w:val="0"/>
          <w:sz w:val="40"/>
          <w:szCs w:val="40"/>
        </w:rPr>
        <w:t>对附属单位补助费用</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项目。</w:t>
      </w:r>
    </w:p>
    <w:p w:rsidR="003476C2" w:rsidRDefault="003476C2" w:rsidP="003476C2">
      <w:pPr>
        <w:shd w:val="clear" w:color="auto" w:fill="FFFFFF"/>
        <w:ind w:firstLineChars="100" w:firstLine="400"/>
        <w:rPr>
          <w:rFonts w:ascii="Arial" w:eastAsia="宋体" w:hAnsi="Arial" w:cs="Arial" w:hint="eastAsia"/>
          <w:color w:val="000000"/>
          <w:kern w:val="0"/>
          <w:sz w:val="40"/>
          <w:szCs w:val="40"/>
        </w:rPr>
      </w:pP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3</w:t>
      </w:r>
      <w:r w:rsidRPr="003476C2">
        <w:rPr>
          <w:rFonts w:ascii="Arial" w:eastAsia="宋体" w:hAnsi="Arial" w:cs="Arial"/>
          <w:color w:val="000000"/>
          <w:kern w:val="0"/>
          <w:sz w:val="40"/>
          <w:szCs w:val="40"/>
        </w:rPr>
        <w:t>）</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部门内部单位之间的上缴上级费用和附属单位上缴收入项目。在编制</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分录时，应当按照附属单位向上级单位上缴的金额，借记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附属单位上缴收入</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其他收入</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（行政单位使用）项目，贷记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上缴上级费用</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项目。</w:t>
      </w:r>
    </w:p>
    <w:p w:rsidR="003476C2" w:rsidRDefault="003476C2" w:rsidP="003476C2">
      <w:pPr>
        <w:shd w:val="clear" w:color="auto" w:fill="FFFFFF"/>
        <w:ind w:firstLineChars="100" w:firstLine="400"/>
        <w:rPr>
          <w:rFonts w:ascii="Arial" w:eastAsia="宋体" w:hAnsi="Arial" w:cs="Arial" w:hint="eastAsia"/>
          <w:color w:val="000000"/>
          <w:kern w:val="0"/>
          <w:sz w:val="40"/>
          <w:szCs w:val="40"/>
        </w:rPr>
      </w:pP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4</w:t>
      </w:r>
      <w:r w:rsidRPr="003476C2">
        <w:rPr>
          <w:rFonts w:ascii="Arial" w:eastAsia="宋体" w:hAnsi="Arial" w:cs="Arial"/>
          <w:color w:val="000000"/>
          <w:kern w:val="0"/>
          <w:sz w:val="40"/>
          <w:szCs w:val="40"/>
        </w:rPr>
        <w:t>）</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部门内部单位之间除（</w:t>
      </w:r>
      <w:r w:rsidRPr="003476C2">
        <w:rPr>
          <w:rFonts w:ascii="Arial" w:eastAsia="宋体" w:hAnsi="Arial" w:cs="Arial"/>
          <w:color w:val="000000"/>
          <w:kern w:val="0"/>
          <w:sz w:val="40"/>
          <w:szCs w:val="40"/>
        </w:rPr>
        <w:t>2</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3</w:t>
      </w:r>
      <w:r w:rsidRPr="003476C2">
        <w:rPr>
          <w:rFonts w:ascii="Arial" w:eastAsia="宋体" w:hAnsi="Arial" w:cs="Arial"/>
          <w:color w:val="000000"/>
          <w:kern w:val="0"/>
          <w:sz w:val="40"/>
          <w:szCs w:val="40"/>
        </w:rPr>
        <w:t>）以外的收入和费用项目。在编制</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分录时，应当按照内部交易的金额，借记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事业收入</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非同级财政拨款收入</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经营收入</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租金收入</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其他收入</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等项目，</w:t>
      </w:r>
      <w:proofErr w:type="gramStart"/>
      <w:r w:rsidRPr="003476C2">
        <w:rPr>
          <w:rFonts w:ascii="Arial" w:eastAsia="宋体" w:hAnsi="Arial" w:cs="Arial"/>
          <w:color w:val="000000"/>
          <w:kern w:val="0"/>
          <w:sz w:val="40"/>
          <w:szCs w:val="40"/>
        </w:rPr>
        <w:t>贷记按费用</w:t>
      </w:r>
      <w:proofErr w:type="gramEnd"/>
      <w:r w:rsidRPr="003476C2">
        <w:rPr>
          <w:rFonts w:ascii="Arial" w:eastAsia="宋体" w:hAnsi="Arial" w:cs="Arial"/>
          <w:color w:val="000000"/>
          <w:kern w:val="0"/>
          <w:sz w:val="40"/>
          <w:szCs w:val="40"/>
        </w:rPr>
        <w:t>性质列示的收入费用表中的</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业务活动费用</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单位管理费用</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经营费用</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其他费用</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等项目；同时，</w:t>
      </w:r>
      <w:proofErr w:type="gramStart"/>
      <w:r w:rsidRPr="003476C2">
        <w:rPr>
          <w:rFonts w:ascii="Arial" w:eastAsia="宋体" w:hAnsi="Arial" w:cs="Arial"/>
          <w:color w:val="000000"/>
          <w:kern w:val="0"/>
          <w:sz w:val="40"/>
          <w:szCs w:val="40"/>
        </w:rPr>
        <w:t>贷记按费用</w:t>
      </w:r>
      <w:proofErr w:type="gramEnd"/>
      <w:r w:rsidRPr="003476C2">
        <w:rPr>
          <w:rFonts w:ascii="Arial" w:eastAsia="宋体" w:hAnsi="Arial" w:cs="Arial"/>
          <w:color w:val="000000"/>
          <w:kern w:val="0"/>
          <w:sz w:val="40"/>
          <w:szCs w:val="40"/>
        </w:rPr>
        <w:t>经济分类列示的收入费用表中的</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商品和服务费用</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其他费用</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等项目。</w:t>
      </w:r>
    </w:p>
    <w:p w:rsidR="003476C2" w:rsidRDefault="003476C2" w:rsidP="003476C2">
      <w:pPr>
        <w:shd w:val="clear" w:color="auto" w:fill="FFFFFF"/>
        <w:ind w:firstLineChars="100" w:firstLine="400"/>
        <w:rPr>
          <w:rFonts w:ascii="Arial" w:eastAsia="宋体" w:hAnsi="Arial" w:cs="Arial" w:hint="eastAsia"/>
          <w:color w:val="000000"/>
          <w:kern w:val="0"/>
          <w:sz w:val="40"/>
          <w:szCs w:val="40"/>
        </w:rPr>
      </w:pP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5</w:t>
      </w:r>
      <w:r w:rsidRPr="003476C2">
        <w:rPr>
          <w:rFonts w:ascii="Arial" w:eastAsia="宋体" w:hAnsi="Arial" w:cs="Arial"/>
          <w:color w:val="000000"/>
          <w:kern w:val="0"/>
          <w:sz w:val="40"/>
          <w:szCs w:val="40"/>
        </w:rPr>
        <w:t>）对涉及增值税的应税业务，单位应当按照不含增值税的净额</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收入和费用项目。</w:t>
      </w:r>
    </w:p>
    <w:p w:rsidR="003476C2" w:rsidRDefault="003476C2" w:rsidP="003476C2">
      <w:pPr>
        <w:shd w:val="clear" w:color="auto" w:fill="FFFFFF"/>
        <w:ind w:firstLineChars="200" w:firstLine="800"/>
        <w:rPr>
          <w:rFonts w:ascii="Arial" w:eastAsia="宋体" w:hAnsi="Arial" w:cs="Arial" w:hint="eastAsia"/>
          <w:color w:val="000000"/>
          <w:kern w:val="0"/>
          <w:sz w:val="40"/>
          <w:szCs w:val="40"/>
        </w:rPr>
      </w:pPr>
      <w:r w:rsidRPr="003476C2">
        <w:rPr>
          <w:rFonts w:ascii="Arial" w:eastAsia="宋体" w:hAnsi="Arial" w:cs="Arial"/>
          <w:color w:val="000000"/>
          <w:kern w:val="0"/>
          <w:sz w:val="40"/>
          <w:szCs w:val="40"/>
        </w:rPr>
        <w:t>2.</w:t>
      </w:r>
      <w:proofErr w:type="gramStart"/>
      <w:r w:rsidRPr="003476C2">
        <w:rPr>
          <w:rFonts w:ascii="Arial" w:eastAsia="宋体" w:hAnsi="Arial" w:cs="Arial"/>
          <w:color w:val="000000"/>
          <w:kern w:val="0"/>
          <w:sz w:val="40"/>
          <w:szCs w:val="40"/>
        </w:rPr>
        <w:t>不抵销</w:t>
      </w:r>
      <w:proofErr w:type="gramEnd"/>
      <w:r w:rsidRPr="003476C2">
        <w:rPr>
          <w:rFonts w:ascii="Arial" w:eastAsia="宋体" w:hAnsi="Arial" w:cs="Arial"/>
          <w:color w:val="000000"/>
          <w:kern w:val="0"/>
          <w:sz w:val="40"/>
          <w:szCs w:val="40"/>
        </w:rPr>
        <w:t>的内部业务或事项。</w:t>
      </w:r>
    </w:p>
    <w:p w:rsidR="003476C2" w:rsidRDefault="003476C2" w:rsidP="003476C2">
      <w:pPr>
        <w:shd w:val="clear" w:color="auto" w:fill="FFFFFF"/>
        <w:ind w:firstLineChars="100" w:firstLine="400"/>
        <w:rPr>
          <w:rFonts w:ascii="Arial" w:eastAsia="宋体" w:hAnsi="Arial" w:cs="Arial" w:hint="eastAsia"/>
          <w:color w:val="000000"/>
          <w:kern w:val="0"/>
          <w:sz w:val="40"/>
          <w:szCs w:val="40"/>
        </w:rPr>
      </w:pP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1</w:t>
      </w:r>
      <w:r w:rsidRPr="003476C2">
        <w:rPr>
          <w:rFonts w:ascii="Arial" w:eastAsia="宋体" w:hAnsi="Arial" w:cs="Arial"/>
          <w:color w:val="000000"/>
          <w:kern w:val="0"/>
          <w:sz w:val="40"/>
          <w:szCs w:val="40"/>
        </w:rPr>
        <w:t>）付款方计入费用、收款方计入应缴财政</w:t>
      </w:r>
      <w:r w:rsidRPr="003476C2">
        <w:rPr>
          <w:rFonts w:ascii="Arial" w:eastAsia="宋体" w:hAnsi="Arial" w:cs="Arial"/>
          <w:color w:val="000000"/>
          <w:kern w:val="0"/>
          <w:sz w:val="40"/>
          <w:szCs w:val="40"/>
        </w:rPr>
        <w:lastRenderedPageBreak/>
        <w:t>款的，在编制部门（单位）合并财务报表时，该费用项目不应</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w:t>
      </w:r>
    </w:p>
    <w:p w:rsidR="003476C2" w:rsidRPr="003476C2" w:rsidRDefault="003476C2" w:rsidP="003476C2">
      <w:pPr>
        <w:shd w:val="clear" w:color="auto" w:fill="FFFFFF"/>
        <w:ind w:firstLineChars="100" w:firstLine="400"/>
        <w:rPr>
          <w:rFonts w:ascii="Arial" w:eastAsia="宋体" w:hAnsi="Arial" w:cs="Arial"/>
          <w:color w:val="000000"/>
          <w:kern w:val="0"/>
          <w:sz w:val="24"/>
          <w:szCs w:val="24"/>
        </w:rPr>
      </w:pP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2</w:t>
      </w:r>
      <w:r w:rsidRPr="003476C2">
        <w:rPr>
          <w:rFonts w:ascii="Arial" w:eastAsia="宋体" w:hAnsi="Arial" w:cs="Arial"/>
          <w:color w:val="000000"/>
          <w:kern w:val="0"/>
          <w:sz w:val="40"/>
          <w:szCs w:val="40"/>
        </w:rPr>
        <w:t>）单位相互之间销售商品、提供劳务形成的存货、固定资产、工程物资、在建工程、无形资产等所包含的未实现内部销售损益，在国务院财政部门</w:t>
      </w:r>
      <w:proofErr w:type="gramStart"/>
      <w:r w:rsidRPr="003476C2">
        <w:rPr>
          <w:rFonts w:ascii="Arial" w:eastAsia="宋体" w:hAnsi="Arial" w:cs="Arial"/>
          <w:color w:val="000000"/>
          <w:kern w:val="0"/>
          <w:sz w:val="40"/>
          <w:szCs w:val="40"/>
        </w:rPr>
        <w:t>作出抵销</w:t>
      </w:r>
      <w:proofErr w:type="gramEnd"/>
      <w:r w:rsidRPr="003476C2">
        <w:rPr>
          <w:rFonts w:ascii="Arial" w:eastAsia="宋体" w:hAnsi="Arial" w:cs="Arial"/>
          <w:color w:val="000000"/>
          <w:kern w:val="0"/>
          <w:sz w:val="40"/>
          <w:szCs w:val="40"/>
        </w:rPr>
        <w:t>处理的规定之前，单位在编制部门（单位）合并财务报表时暂不</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w:t>
      </w:r>
    </w:p>
    <w:p w:rsidR="003476C2" w:rsidRDefault="003476C2" w:rsidP="003476C2">
      <w:pPr>
        <w:widowControl/>
        <w:shd w:val="clear" w:color="auto" w:fill="FFFFFF"/>
        <w:ind w:firstLineChars="100" w:firstLine="400"/>
        <w:jc w:val="left"/>
        <w:rPr>
          <w:rFonts w:ascii="Arial" w:eastAsia="宋体" w:hAnsi="Arial" w:cs="Arial" w:hint="eastAsia"/>
          <w:color w:val="000000"/>
          <w:kern w:val="0"/>
          <w:sz w:val="40"/>
          <w:szCs w:val="40"/>
        </w:rPr>
      </w:pP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3</w:t>
      </w:r>
      <w:r w:rsidRPr="003476C2">
        <w:rPr>
          <w:rFonts w:ascii="Arial" w:eastAsia="宋体" w:hAnsi="Arial" w:cs="Arial"/>
          <w:color w:val="000000"/>
          <w:kern w:val="0"/>
          <w:sz w:val="40"/>
          <w:szCs w:val="40"/>
        </w:rPr>
        <w:t>）按照国务院财政部门财务报告编制的有关规定，金额不超过</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阈值的，在编制部门（单位）合并财务报表时可以不进行</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3.</w:t>
      </w:r>
      <w:r w:rsidRPr="003476C2">
        <w:rPr>
          <w:rFonts w:ascii="Arial" w:eastAsia="宋体" w:hAnsi="Arial" w:cs="Arial"/>
          <w:color w:val="000000"/>
          <w:kern w:val="0"/>
          <w:sz w:val="40"/>
          <w:szCs w:val="40"/>
        </w:rPr>
        <w:t>特殊情况下的</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处理。在各单位充分对账、会计处理正确的前提下，部门合并主体对于明细核算或辅助核算中注明</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本部门内部单位</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，但按照</w:t>
      </w:r>
      <w:r w:rsidRPr="003476C2">
        <w:rPr>
          <w:rFonts w:ascii="Arial" w:eastAsia="宋体" w:hAnsi="Arial" w:cs="Arial"/>
          <w:color w:val="000000"/>
          <w:kern w:val="0"/>
          <w:sz w:val="40"/>
          <w:szCs w:val="40"/>
        </w:rPr>
        <w:t>“1.</w:t>
      </w:r>
      <w:r w:rsidRPr="003476C2">
        <w:rPr>
          <w:rFonts w:ascii="Arial" w:eastAsia="宋体" w:hAnsi="Arial" w:cs="Arial"/>
          <w:color w:val="000000"/>
          <w:kern w:val="0"/>
          <w:sz w:val="40"/>
          <w:szCs w:val="40"/>
        </w:rPr>
        <w:t>一般情况下的</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处理</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规定未能进行</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处理，且不属于</w:t>
      </w:r>
      <w:r w:rsidRPr="003476C2">
        <w:rPr>
          <w:rFonts w:ascii="Arial" w:eastAsia="宋体" w:hAnsi="Arial" w:cs="Arial"/>
          <w:color w:val="000000"/>
          <w:kern w:val="0"/>
          <w:sz w:val="40"/>
          <w:szCs w:val="40"/>
        </w:rPr>
        <w:t>“2.</w:t>
      </w:r>
      <w:proofErr w:type="gramStart"/>
      <w:r w:rsidRPr="003476C2">
        <w:rPr>
          <w:rFonts w:ascii="Arial" w:eastAsia="宋体" w:hAnsi="Arial" w:cs="Arial"/>
          <w:color w:val="000000"/>
          <w:kern w:val="0"/>
          <w:sz w:val="40"/>
          <w:szCs w:val="40"/>
        </w:rPr>
        <w:t>不抵销</w:t>
      </w:r>
      <w:proofErr w:type="gramEnd"/>
      <w:r w:rsidRPr="003476C2">
        <w:rPr>
          <w:rFonts w:ascii="Arial" w:eastAsia="宋体" w:hAnsi="Arial" w:cs="Arial"/>
          <w:color w:val="000000"/>
          <w:kern w:val="0"/>
          <w:sz w:val="40"/>
          <w:szCs w:val="40"/>
        </w:rPr>
        <w:t>的内部业务或事项</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的项目，可以直接按照内部业务或事项的金额编制</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分录：借</w:t>
      </w:r>
      <w:proofErr w:type="gramStart"/>
      <w:r w:rsidRPr="003476C2">
        <w:rPr>
          <w:rFonts w:ascii="Arial" w:eastAsia="宋体" w:hAnsi="Arial" w:cs="Arial"/>
          <w:color w:val="000000"/>
          <w:kern w:val="0"/>
          <w:sz w:val="40"/>
          <w:szCs w:val="40"/>
        </w:rPr>
        <w:t>记有关</w:t>
      </w:r>
      <w:proofErr w:type="gramEnd"/>
      <w:r w:rsidRPr="003476C2">
        <w:rPr>
          <w:rFonts w:ascii="Arial" w:eastAsia="宋体" w:hAnsi="Arial" w:cs="Arial"/>
          <w:color w:val="000000"/>
          <w:kern w:val="0"/>
          <w:sz w:val="40"/>
          <w:szCs w:val="40"/>
        </w:rPr>
        <w:t>应付及预收、收入项目，贷</w:t>
      </w:r>
      <w:proofErr w:type="gramStart"/>
      <w:r w:rsidRPr="003476C2">
        <w:rPr>
          <w:rFonts w:ascii="Arial" w:eastAsia="宋体" w:hAnsi="Arial" w:cs="Arial"/>
          <w:color w:val="000000"/>
          <w:kern w:val="0"/>
          <w:sz w:val="40"/>
          <w:szCs w:val="40"/>
        </w:rPr>
        <w:t>记有关</w:t>
      </w:r>
      <w:proofErr w:type="gramEnd"/>
      <w:r w:rsidRPr="003476C2">
        <w:rPr>
          <w:rFonts w:ascii="Arial" w:eastAsia="宋体" w:hAnsi="Arial" w:cs="Arial"/>
          <w:color w:val="000000"/>
          <w:kern w:val="0"/>
          <w:sz w:val="40"/>
          <w:szCs w:val="40"/>
        </w:rPr>
        <w:t>应收及预付、费用项目，按其差额借记或贷记</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累计盈余</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项目。部门合并主体应当在报表附注中披露按照特殊情况下的</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处理方法</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的项目及其金额。</w:t>
      </w:r>
    </w:p>
    <w:p w:rsidR="003476C2" w:rsidRDefault="003476C2" w:rsidP="003476C2">
      <w:pPr>
        <w:widowControl/>
        <w:shd w:val="clear" w:color="auto" w:fill="FFFFFF"/>
        <w:ind w:firstLineChars="100" w:firstLine="400"/>
        <w:jc w:val="left"/>
        <w:rPr>
          <w:rFonts w:ascii="Arial" w:eastAsia="宋体" w:hAnsi="Arial" w:cs="Arial" w:hint="eastAsia"/>
          <w:color w:val="000000"/>
          <w:kern w:val="0"/>
          <w:sz w:val="40"/>
          <w:szCs w:val="40"/>
        </w:rPr>
      </w:pPr>
      <w:r w:rsidRPr="003476C2">
        <w:rPr>
          <w:rFonts w:ascii="Courier New" w:eastAsia="宋体" w:hAnsi="Courier New" w:cs="Courier New"/>
          <w:color w:val="000000"/>
          <w:kern w:val="0"/>
          <w:sz w:val="40"/>
          <w:szCs w:val="40"/>
        </w:rPr>
        <w:lastRenderedPageBreak/>
        <w:t>（四）相关会计核算要求。</w:t>
      </w:r>
      <w:r w:rsidRPr="003476C2">
        <w:rPr>
          <w:rFonts w:ascii="Arial" w:eastAsia="宋体" w:hAnsi="Arial" w:cs="Arial"/>
          <w:color w:val="000000"/>
          <w:kern w:val="0"/>
          <w:sz w:val="40"/>
          <w:szCs w:val="40"/>
        </w:rPr>
        <w:t>1.</w:t>
      </w:r>
      <w:r w:rsidRPr="003476C2">
        <w:rPr>
          <w:rFonts w:ascii="Arial" w:eastAsia="宋体" w:hAnsi="Arial" w:cs="Arial"/>
          <w:color w:val="000000"/>
          <w:kern w:val="0"/>
          <w:sz w:val="40"/>
          <w:szCs w:val="40"/>
        </w:rPr>
        <w:t>单位通过本部门内部单位转拨资金方式，从本部门以外单位取得收入（或向本部门以外单位支付费用）的，不属于编制部门（单位）合并财务报表时应当</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的内部业务或事项。在会计核算时，转拨单位应当通过</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其他应付款</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科目进行会计处理。实际取得收入（或支付费用）的单位确认的收入（费用）、转拨单位确认的其他应付款，在会计核算时不应注明</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本部门内部单位</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，应当按资金的最初来源（最终支付对象）注明</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本部门以外同级政府单位</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本部门以外非同级政府单位</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或</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其他单位</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w:t>
      </w:r>
      <w:r>
        <w:rPr>
          <w:rFonts w:ascii="Arial" w:eastAsia="宋体" w:hAnsi="Arial" w:cs="Arial" w:hint="eastAsia"/>
          <w:color w:val="000000"/>
          <w:kern w:val="0"/>
          <w:sz w:val="40"/>
          <w:szCs w:val="40"/>
        </w:rPr>
        <w:t xml:space="preserve">  </w:t>
      </w:r>
    </w:p>
    <w:p w:rsidR="003476C2" w:rsidRDefault="003476C2" w:rsidP="003476C2">
      <w:pPr>
        <w:widowControl/>
        <w:shd w:val="clear" w:color="auto" w:fill="FFFFFF"/>
        <w:ind w:firstLineChars="200" w:firstLine="800"/>
        <w:jc w:val="left"/>
        <w:rPr>
          <w:rFonts w:ascii="Arial" w:eastAsia="宋体" w:hAnsi="Arial" w:cs="Arial" w:hint="eastAsia"/>
          <w:color w:val="000000"/>
          <w:kern w:val="0"/>
          <w:sz w:val="40"/>
          <w:szCs w:val="40"/>
        </w:rPr>
      </w:pPr>
      <w:r w:rsidRPr="003476C2">
        <w:rPr>
          <w:rFonts w:ascii="Arial" w:eastAsia="宋体" w:hAnsi="Arial" w:cs="Arial"/>
          <w:color w:val="000000"/>
          <w:kern w:val="0"/>
          <w:sz w:val="40"/>
          <w:szCs w:val="40"/>
        </w:rPr>
        <w:t>2.</w:t>
      </w:r>
      <w:r w:rsidRPr="003476C2">
        <w:rPr>
          <w:rFonts w:ascii="Arial" w:eastAsia="宋体" w:hAnsi="Arial" w:cs="Arial"/>
          <w:color w:val="000000"/>
          <w:kern w:val="0"/>
          <w:sz w:val="40"/>
          <w:szCs w:val="40"/>
        </w:rPr>
        <w:t>编制部门（单位）合并财务报表过程中发现报告期和报告期以前期间的会计差错，属于报告日以后发生的调整事项，应当按照《政府会计准则第</w:t>
      </w:r>
      <w:r w:rsidRPr="003476C2">
        <w:rPr>
          <w:rFonts w:ascii="Arial" w:eastAsia="宋体" w:hAnsi="Arial" w:cs="Arial"/>
          <w:color w:val="000000"/>
          <w:kern w:val="0"/>
          <w:sz w:val="40"/>
          <w:szCs w:val="40"/>
        </w:rPr>
        <w:t>7</w:t>
      </w:r>
      <w:r w:rsidRPr="003476C2">
        <w:rPr>
          <w:rFonts w:ascii="Arial" w:eastAsia="宋体" w:hAnsi="Arial" w:cs="Arial"/>
          <w:color w:val="000000"/>
          <w:kern w:val="0"/>
          <w:sz w:val="40"/>
          <w:szCs w:val="40"/>
        </w:rPr>
        <w:t>号</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会计调整》的规定进行会计处理，再根据调整后的个别财务报表编制合并财务报表。</w:t>
      </w:r>
    </w:p>
    <w:p w:rsidR="003476C2" w:rsidRDefault="003476C2" w:rsidP="003476C2">
      <w:pPr>
        <w:widowControl/>
        <w:shd w:val="clear" w:color="auto" w:fill="FFFFFF"/>
        <w:ind w:firstLineChars="200" w:firstLine="800"/>
        <w:jc w:val="left"/>
        <w:rPr>
          <w:rFonts w:ascii="Courier New" w:eastAsia="宋体" w:hAnsi="Courier New" w:cs="Courier New" w:hint="eastAsia"/>
          <w:color w:val="000000"/>
          <w:kern w:val="0"/>
          <w:sz w:val="40"/>
          <w:szCs w:val="40"/>
        </w:rPr>
      </w:pPr>
      <w:r w:rsidRPr="003476C2">
        <w:rPr>
          <w:rFonts w:ascii="Courier New" w:eastAsia="宋体" w:hAnsi="Courier New" w:cs="Courier New"/>
          <w:color w:val="000000"/>
          <w:kern w:val="0"/>
          <w:sz w:val="40"/>
          <w:szCs w:val="40"/>
        </w:rPr>
        <w:t>九、关于生效日期</w:t>
      </w:r>
    </w:p>
    <w:p w:rsidR="003476C2" w:rsidRPr="003476C2" w:rsidRDefault="003476C2" w:rsidP="003476C2">
      <w:pPr>
        <w:widowControl/>
        <w:shd w:val="clear" w:color="auto" w:fill="FFFFFF"/>
        <w:ind w:firstLineChars="200" w:firstLine="800"/>
        <w:jc w:val="left"/>
        <w:rPr>
          <w:rFonts w:ascii="Arial" w:eastAsia="宋体" w:hAnsi="Arial" w:cs="Arial"/>
          <w:color w:val="000000"/>
          <w:kern w:val="0"/>
          <w:sz w:val="24"/>
          <w:szCs w:val="24"/>
        </w:rPr>
      </w:pPr>
      <w:r w:rsidRPr="003476C2">
        <w:rPr>
          <w:rFonts w:ascii="Arial" w:eastAsia="宋体" w:hAnsi="Arial" w:cs="Arial"/>
          <w:color w:val="000000"/>
          <w:kern w:val="0"/>
          <w:sz w:val="40"/>
          <w:szCs w:val="40"/>
        </w:rPr>
        <w:t>本解释</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关于财政国库集中支付结余不再按权责发生制列支的相关会计处理</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适用于</w:t>
      </w:r>
      <w:r w:rsidRPr="003476C2">
        <w:rPr>
          <w:rFonts w:ascii="Arial" w:eastAsia="宋体" w:hAnsi="Arial" w:cs="Arial"/>
          <w:color w:val="000000"/>
          <w:kern w:val="0"/>
          <w:sz w:val="40"/>
          <w:szCs w:val="40"/>
        </w:rPr>
        <w:t>2021</w:t>
      </w:r>
      <w:r w:rsidRPr="003476C2">
        <w:rPr>
          <w:rFonts w:ascii="Arial" w:eastAsia="宋体" w:hAnsi="Arial" w:cs="Arial"/>
          <w:color w:val="000000"/>
          <w:kern w:val="0"/>
          <w:sz w:val="40"/>
          <w:szCs w:val="40"/>
        </w:rPr>
        <w:t>及以后年度，</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关于部门（单位）合并财务报表范围中所属事业单位的确认</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适用于编制</w:t>
      </w:r>
      <w:r w:rsidRPr="003476C2">
        <w:rPr>
          <w:rFonts w:ascii="Arial" w:eastAsia="宋体" w:hAnsi="Arial" w:cs="Arial"/>
          <w:color w:val="000000"/>
          <w:kern w:val="0"/>
          <w:sz w:val="40"/>
          <w:szCs w:val="40"/>
        </w:rPr>
        <w:t>2021</w:t>
      </w:r>
      <w:r w:rsidRPr="003476C2">
        <w:rPr>
          <w:rFonts w:ascii="Arial" w:eastAsia="宋体" w:hAnsi="Arial" w:cs="Arial"/>
          <w:color w:val="000000"/>
          <w:kern w:val="0"/>
          <w:sz w:val="40"/>
          <w:szCs w:val="40"/>
        </w:rPr>
        <w:lastRenderedPageBreak/>
        <w:t>及以后年度的部门（单位）合并财务报表，</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关于部门（单位）合并财务报表的编制程序和</w:t>
      </w:r>
      <w:proofErr w:type="gramStart"/>
      <w:r w:rsidRPr="003476C2">
        <w:rPr>
          <w:rFonts w:ascii="Arial" w:eastAsia="宋体" w:hAnsi="Arial" w:cs="Arial"/>
          <w:color w:val="000000"/>
          <w:kern w:val="0"/>
          <w:sz w:val="40"/>
          <w:szCs w:val="40"/>
        </w:rPr>
        <w:t>抵销</w:t>
      </w:r>
      <w:proofErr w:type="gramEnd"/>
      <w:r w:rsidRPr="003476C2">
        <w:rPr>
          <w:rFonts w:ascii="Arial" w:eastAsia="宋体" w:hAnsi="Arial" w:cs="Arial"/>
          <w:color w:val="000000"/>
          <w:kern w:val="0"/>
          <w:sz w:val="40"/>
          <w:szCs w:val="40"/>
        </w:rPr>
        <w:t>事项的处理</w:t>
      </w:r>
      <w:r w:rsidRPr="003476C2">
        <w:rPr>
          <w:rFonts w:ascii="Arial" w:eastAsia="宋体" w:hAnsi="Arial" w:cs="Arial"/>
          <w:color w:val="000000"/>
          <w:kern w:val="0"/>
          <w:sz w:val="40"/>
          <w:szCs w:val="40"/>
        </w:rPr>
        <w:t>”</w:t>
      </w:r>
      <w:r w:rsidRPr="003476C2">
        <w:rPr>
          <w:rFonts w:ascii="Arial" w:eastAsia="宋体" w:hAnsi="Arial" w:cs="Arial"/>
          <w:color w:val="000000"/>
          <w:kern w:val="0"/>
          <w:sz w:val="40"/>
          <w:szCs w:val="40"/>
        </w:rPr>
        <w:t>适用于编制</w:t>
      </w:r>
      <w:r w:rsidRPr="003476C2">
        <w:rPr>
          <w:rFonts w:ascii="Arial" w:eastAsia="宋体" w:hAnsi="Arial" w:cs="Arial"/>
          <w:color w:val="000000"/>
          <w:kern w:val="0"/>
          <w:sz w:val="40"/>
          <w:szCs w:val="40"/>
        </w:rPr>
        <w:t>2022</w:t>
      </w:r>
      <w:r w:rsidRPr="003476C2">
        <w:rPr>
          <w:rFonts w:ascii="Arial" w:eastAsia="宋体" w:hAnsi="Arial" w:cs="Arial"/>
          <w:color w:val="000000"/>
          <w:kern w:val="0"/>
          <w:sz w:val="40"/>
          <w:szCs w:val="40"/>
        </w:rPr>
        <w:t>及以后年度的部门（单位）合并财务报表，</w:t>
      </w:r>
      <w:proofErr w:type="gramStart"/>
      <w:r w:rsidRPr="003476C2">
        <w:rPr>
          <w:rFonts w:ascii="Arial" w:eastAsia="宋体" w:hAnsi="Arial" w:cs="Arial"/>
          <w:color w:val="000000"/>
          <w:kern w:val="0"/>
          <w:sz w:val="40"/>
          <w:szCs w:val="40"/>
        </w:rPr>
        <w:t>其余规定</w:t>
      </w:r>
      <w:proofErr w:type="gramEnd"/>
      <w:r w:rsidRPr="003476C2">
        <w:rPr>
          <w:rFonts w:ascii="Arial" w:eastAsia="宋体" w:hAnsi="Arial" w:cs="Arial"/>
          <w:color w:val="000000"/>
          <w:kern w:val="0"/>
          <w:sz w:val="40"/>
          <w:szCs w:val="40"/>
        </w:rPr>
        <w:t>自</w:t>
      </w:r>
      <w:r w:rsidRPr="003476C2">
        <w:rPr>
          <w:rFonts w:ascii="Arial" w:eastAsia="宋体" w:hAnsi="Arial" w:cs="Arial"/>
          <w:color w:val="000000"/>
          <w:kern w:val="0"/>
          <w:sz w:val="40"/>
          <w:szCs w:val="40"/>
        </w:rPr>
        <w:t>2022</w:t>
      </w:r>
      <w:r w:rsidRPr="003476C2">
        <w:rPr>
          <w:rFonts w:ascii="Arial" w:eastAsia="宋体" w:hAnsi="Arial" w:cs="Arial"/>
          <w:color w:val="000000"/>
          <w:kern w:val="0"/>
          <w:sz w:val="40"/>
          <w:szCs w:val="40"/>
        </w:rPr>
        <w:t>年</w:t>
      </w:r>
      <w:r w:rsidRPr="003476C2">
        <w:rPr>
          <w:rFonts w:ascii="Arial" w:eastAsia="宋体" w:hAnsi="Arial" w:cs="Arial"/>
          <w:color w:val="000000"/>
          <w:kern w:val="0"/>
          <w:sz w:val="40"/>
          <w:szCs w:val="40"/>
        </w:rPr>
        <w:t>1</w:t>
      </w:r>
      <w:r w:rsidRPr="003476C2">
        <w:rPr>
          <w:rFonts w:ascii="Arial" w:eastAsia="宋体" w:hAnsi="Arial" w:cs="Arial"/>
          <w:color w:val="000000"/>
          <w:kern w:val="0"/>
          <w:sz w:val="40"/>
          <w:szCs w:val="40"/>
        </w:rPr>
        <w:t>月</w:t>
      </w:r>
      <w:r w:rsidRPr="003476C2">
        <w:rPr>
          <w:rFonts w:ascii="Arial" w:eastAsia="宋体" w:hAnsi="Arial" w:cs="Arial"/>
          <w:color w:val="000000"/>
          <w:kern w:val="0"/>
          <w:sz w:val="40"/>
          <w:szCs w:val="40"/>
        </w:rPr>
        <w:t>1</w:t>
      </w:r>
      <w:r w:rsidRPr="003476C2">
        <w:rPr>
          <w:rFonts w:ascii="Arial" w:eastAsia="宋体" w:hAnsi="Arial" w:cs="Arial"/>
          <w:color w:val="000000"/>
          <w:kern w:val="0"/>
          <w:sz w:val="40"/>
          <w:szCs w:val="40"/>
        </w:rPr>
        <w:t>日起施行。本解释规定首次施行时均采用未来适用法。</w:t>
      </w:r>
    </w:p>
    <w:p w:rsidR="00257B6D" w:rsidRPr="00257B6D" w:rsidRDefault="00257B6D" w:rsidP="003476C2">
      <w:pPr>
        <w:widowControl/>
        <w:shd w:val="clear" w:color="auto" w:fill="FFFFFF"/>
        <w:ind w:firstLineChars="100" w:firstLine="400"/>
        <w:jc w:val="left"/>
        <w:rPr>
          <w:rFonts w:ascii="Arial" w:eastAsia="宋体" w:hAnsi="Arial" w:cs="Arial"/>
          <w:color w:val="000000"/>
          <w:kern w:val="0"/>
          <w:sz w:val="40"/>
          <w:szCs w:val="40"/>
        </w:rPr>
      </w:pPr>
    </w:p>
    <w:p w:rsidR="00215D0A" w:rsidRDefault="00215D0A"/>
    <w:sectPr w:rsidR="00215D0A" w:rsidSect="00215D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A4D" w:rsidRDefault="00E63A4D" w:rsidP="00257B6D">
      <w:r>
        <w:separator/>
      </w:r>
    </w:p>
  </w:endnote>
  <w:endnote w:type="continuationSeparator" w:id="0">
    <w:p w:rsidR="00E63A4D" w:rsidRDefault="00E63A4D" w:rsidP="00257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A4D" w:rsidRDefault="00E63A4D" w:rsidP="00257B6D">
      <w:r>
        <w:separator/>
      </w:r>
    </w:p>
  </w:footnote>
  <w:footnote w:type="continuationSeparator" w:id="0">
    <w:p w:rsidR="00E63A4D" w:rsidRDefault="00E63A4D" w:rsidP="00257B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531EC"/>
    <w:multiLevelType w:val="hybridMultilevel"/>
    <w:tmpl w:val="22800F26"/>
    <w:lvl w:ilvl="0" w:tplc="9016FFA8">
      <w:start w:val="1"/>
      <w:numFmt w:val="japaneseCounting"/>
      <w:lvlText w:val="%1、"/>
      <w:lvlJc w:val="left"/>
      <w:pPr>
        <w:ind w:left="720" w:hanging="720"/>
      </w:pPr>
      <w:rPr>
        <w:rFonts w:hint="default"/>
      </w:rPr>
    </w:lvl>
    <w:lvl w:ilvl="1" w:tplc="773EFBF4">
      <w:start w:val="1"/>
      <w:numFmt w:val="japaneseCounting"/>
      <w:lvlText w:val="(%2）"/>
      <w:lvlJc w:val="left"/>
      <w:pPr>
        <w:ind w:left="1500" w:hanging="1080"/>
      </w:pPr>
      <w:rPr>
        <w:rFonts w:ascii="Courier New" w:hAnsi="Courier New"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51343F"/>
    <w:multiLevelType w:val="hybridMultilevel"/>
    <w:tmpl w:val="1214F50A"/>
    <w:lvl w:ilvl="0" w:tplc="DD489F26">
      <w:start w:val="1"/>
      <w:numFmt w:val="japaneseCounting"/>
      <w:lvlText w:val="%1、"/>
      <w:lvlJc w:val="left"/>
      <w:pPr>
        <w:ind w:left="1210" w:hanging="810"/>
      </w:pPr>
      <w:rPr>
        <w:rFonts w:ascii="Courier New" w:hAnsi="Courier New"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nsid w:val="663B4100"/>
    <w:multiLevelType w:val="hybridMultilevel"/>
    <w:tmpl w:val="0B2E34F4"/>
    <w:lvl w:ilvl="0" w:tplc="097419E6">
      <w:start w:val="1"/>
      <w:numFmt w:val="japaneseCounting"/>
      <w:lvlText w:val="（%1）"/>
      <w:lvlJc w:val="left"/>
      <w:pPr>
        <w:ind w:left="1215" w:hanging="1215"/>
      </w:pPr>
      <w:rPr>
        <w:rFonts w:ascii="Courier New" w:hAnsi="Courier New"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7B6D"/>
    <w:rsid w:val="00215D0A"/>
    <w:rsid w:val="00257B6D"/>
    <w:rsid w:val="003476C2"/>
    <w:rsid w:val="00E63A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D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7B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7B6D"/>
    <w:rPr>
      <w:sz w:val="18"/>
      <w:szCs w:val="18"/>
    </w:rPr>
  </w:style>
  <w:style w:type="paragraph" w:styleId="a4">
    <w:name w:val="footer"/>
    <w:basedOn w:val="a"/>
    <w:link w:val="Char0"/>
    <w:uiPriority w:val="99"/>
    <w:semiHidden/>
    <w:unhideWhenUsed/>
    <w:rsid w:val="00257B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7B6D"/>
    <w:rPr>
      <w:sz w:val="18"/>
      <w:szCs w:val="18"/>
    </w:rPr>
  </w:style>
  <w:style w:type="paragraph" w:styleId="a5">
    <w:name w:val="List Paragraph"/>
    <w:basedOn w:val="a"/>
    <w:uiPriority w:val="34"/>
    <w:qFormat/>
    <w:rsid w:val="00257B6D"/>
    <w:pPr>
      <w:ind w:firstLineChars="200" w:firstLine="420"/>
    </w:pPr>
  </w:style>
</w:styles>
</file>

<file path=word/webSettings.xml><?xml version="1.0" encoding="utf-8"?>
<w:webSettings xmlns:r="http://schemas.openxmlformats.org/officeDocument/2006/relationships" xmlns:w="http://schemas.openxmlformats.org/wordprocessingml/2006/main">
  <w:divs>
    <w:div w:id="386344079">
      <w:bodyDiv w:val="1"/>
      <w:marLeft w:val="0"/>
      <w:marRight w:val="0"/>
      <w:marTop w:val="0"/>
      <w:marBottom w:val="0"/>
      <w:divBdr>
        <w:top w:val="none" w:sz="0" w:space="0" w:color="auto"/>
        <w:left w:val="none" w:sz="0" w:space="0" w:color="auto"/>
        <w:bottom w:val="none" w:sz="0" w:space="0" w:color="auto"/>
        <w:right w:val="none" w:sz="0" w:space="0" w:color="auto"/>
      </w:divBdr>
      <w:divsChild>
        <w:div w:id="1196426015">
          <w:marLeft w:val="0"/>
          <w:marRight w:val="0"/>
          <w:marTop w:val="15"/>
          <w:marBottom w:val="0"/>
          <w:divBdr>
            <w:top w:val="none" w:sz="0" w:space="0" w:color="auto"/>
            <w:left w:val="none" w:sz="0" w:space="0" w:color="auto"/>
            <w:bottom w:val="none" w:sz="0" w:space="0" w:color="auto"/>
            <w:right w:val="none" w:sz="0" w:space="0" w:color="auto"/>
          </w:divBdr>
          <w:divsChild>
            <w:div w:id="1957053937">
              <w:marLeft w:val="0"/>
              <w:marRight w:val="0"/>
              <w:marTop w:val="0"/>
              <w:marBottom w:val="0"/>
              <w:divBdr>
                <w:top w:val="none" w:sz="0" w:space="0" w:color="auto"/>
                <w:left w:val="none" w:sz="0" w:space="0" w:color="auto"/>
                <w:bottom w:val="none" w:sz="0" w:space="0" w:color="auto"/>
                <w:right w:val="none" w:sz="0" w:space="0" w:color="auto"/>
              </w:divBdr>
            </w:div>
          </w:divsChild>
        </w:div>
        <w:div w:id="1433816744">
          <w:marLeft w:val="0"/>
          <w:marRight w:val="0"/>
          <w:marTop w:val="15"/>
          <w:marBottom w:val="0"/>
          <w:divBdr>
            <w:top w:val="none" w:sz="0" w:space="0" w:color="auto"/>
            <w:left w:val="none" w:sz="0" w:space="0" w:color="auto"/>
            <w:bottom w:val="none" w:sz="0" w:space="0" w:color="auto"/>
            <w:right w:val="none" w:sz="0" w:space="0" w:color="auto"/>
          </w:divBdr>
          <w:divsChild>
            <w:div w:id="1211306558">
              <w:marLeft w:val="0"/>
              <w:marRight w:val="0"/>
              <w:marTop w:val="0"/>
              <w:marBottom w:val="0"/>
              <w:divBdr>
                <w:top w:val="none" w:sz="0" w:space="0" w:color="auto"/>
                <w:left w:val="none" w:sz="0" w:space="0" w:color="auto"/>
                <w:bottom w:val="none" w:sz="0" w:space="0" w:color="auto"/>
                <w:right w:val="none" w:sz="0" w:space="0" w:color="auto"/>
              </w:divBdr>
            </w:div>
          </w:divsChild>
        </w:div>
        <w:div w:id="2070691556">
          <w:marLeft w:val="0"/>
          <w:marRight w:val="0"/>
          <w:marTop w:val="15"/>
          <w:marBottom w:val="0"/>
          <w:divBdr>
            <w:top w:val="none" w:sz="0" w:space="0" w:color="auto"/>
            <w:left w:val="none" w:sz="0" w:space="0" w:color="auto"/>
            <w:bottom w:val="none" w:sz="0" w:space="0" w:color="auto"/>
            <w:right w:val="none" w:sz="0" w:space="0" w:color="auto"/>
          </w:divBdr>
          <w:divsChild>
            <w:div w:id="767625099">
              <w:marLeft w:val="0"/>
              <w:marRight w:val="0"/>
              <w:marTop w:val="0"/>
              <w:marBottom w:val="0"/>
              <w:divBdr>
                <w:top w:val="none" w:sz="0" w:space="0" w:color="auto"/>
                <w:left w:val="none" w:sz="0" w:space="0" w:color="auto"/>
                <w:bottom w:val="none" w:sz="0" w:space="0" w:color="auto"/>
                <w:right w:val="none" w:sz="0" w:space="0" w:color="auto"/>
              </w:divBdr>
            </w:div>
          </w:divsChild>
        </w:div>
        <w:div w:id="1304653802">
          <w:marLeft w:val="0"/>
          <w:marRight w:val="0"/>
          <w:marTop w:val="15"/>
          <w:marBottom w:val="0"/>
          <w:divBdr>
            <w:top w:val="none" w:sz="0" w:space="0" w:color="auto"/>
            <w:left w:val="none" w:sz="0" w:space="0" w:color="auto"/>
            <w:bottom w:val="none" w:sz="0" w:space="0" w:color="auto"/>
            <w:right w:val="none" w:sz="0" w:space="0" w:color="auto"/>
          </w:divBdr>
          <w:divsChild>
            <w:div w:id="15840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92878">
      <w:bodyDiv w:val="1"/>
      <w:marLeft w:val="0"/>
      <w:marRight w:val="0"/>
      <w:marTop w:val="0"/>
      <w:marBottom w:val="0"/>
      <w:divBdr>
        <w:top w:val="none" w:sz="0" w:space="0" w:color="auto"/>
        <w:left w:val="none" w:sz="0" w:space="0" w:color="auto"/>
        <w:bottom w:val="none" w:sz="0" w:space="0" w:color="auto"/>
        <w:right w:val="none" w:sz="0" w:space="0" w:color="auto"/>
      </w:divBdr>
      <w:divsChild>
        <w:div w:id="457648234">
          <w:marLeft w:val="0"/>
          <w:marRight w:val="0"/>
          <w:marTop w:val="15"/>
          <w:marBottom w:val="0"/>
          <w:divBdr>
            <w:top w:val="none" w:sz="0" w:space="0" w:color="auto"/>
            <w:left w:val="none" w:sz="0" w:space="0" w:color="auto"/>
            <w:bottom w:val="none" w:sz="0" w:space="0" w:color="auto"/>
            <w:right w:val="none" w:sz="0" w:space="0" w:color="auto"/>
          </w:divBdr>
          <w:divsChild>
            <w:div w:id="1519811970">
              <w:marLeft w:val="0"/>
              <w:marRight w:val="0"/>
              <w:marTop w:val="0"/>
              <w:marBottom w:val="0"/>
              <w:divBdr>
                <w:top w:val="none" w:sz="0" w:space="0" w:color="auto"/>
                <w:left w:val="none" w:sz="0" w:space="0" w:color="auto"/>
                <w:bottom w:val="none" w:sz="0" w:space="0" w:color="auto"/>
                <w:right w:val="none" w:sz="0" w:space="0" w:color="auto"/>
              </w:divBdr>
            </w:div>
          </w:divsChild>
        </w:div>
        <w:div w:id="327098355">
          <w:marLeft w:val="0"/>
          <w:marRight w:val="0"/>
          <w:marTop w:val="15"/>
          <w:marBottom w:val="0"/>
          <w:divBdr>
            <w:top w:val="none" w:sz="0" w:space="0" w:color="auto"/>
            <w:left w:val="none" w:sz="0" w:space="0" w:color="auto"/>
            <w:bottom w:val="none" w:sz="0" w:space="0" w:color="auto"/>
            <w:right w:val="none" w:sz="0" w:space="0" w:color="auto"/>
          </w:divBdr>
          <w:divsChild>
            <w:div w:id="163132497">
              <w:marLeft w:val="0"/>
              <w:marRight w:val="0"/>
              <w:marTop w:val="0"/>
              <w:marBottom w:val="0"/>
              <w:divBdr>
                <w:top w:val="none" w:sz="0" w:space="0" w:color="auto"/>
                <w:left w:val="none" w:sz="0" w:space="0" w:color="auto"/>
                <w:bottom w:val="none" w:sz="0" w:space="0" w:color="auto"/>
                <w:right w:val="none" w:sz="0" w:space="0" w:color="auto"/>
              </w:divBdr>
            </w:div>
          </w:divsChild>
        </w:div>
        <w:div w:id="865866805">
          <w:marLeft w:val="0"/>
          <w:marRight w:val="0"/>
          <w:marTop w:val="15"/>
          <w:marBottom w:val="0"/>
          <w:divBdr>
            <w:top w:val="none" w:sz="0" w:space="0" w:color="auto"/>
            <w:left w:val="none" w:sz="0" w:space="0" w:color="auto"/>
            <w:bottom w:val="none" w:sz="0" w:space="0" w:color="auto"/>
            <w:right w:val="none" w:sz="0" w:space="0" w:color="auto"/>
          </w:divBdr>
          <w:divsChild>
            <w:div w:id="1020930462">
              <w:marLeft w:val="0"/>
              <w:marRight w:val="0"/>
              <w:marTop w:val="0"/>
              <w:marBottom w:val="0"/>
              <w:divBdr>
                <w:top w:val="none" w:sz="0" w:space="0" w:color="auto"/>
                <w:left w:val="none" w:sz="0" w:space="0" w:color="auto"/>
                <w:bottom w:val="none" w:sz="0" w:space="0" w:color="auto"/>
                <w:right w:val="none" w:sz="0" w:space="0" w:color="auto"/>
              </w:divBdr>
            </w:div>
          </w:divsChild>
        </w:div>
        <w:div w:id="1751196316">
          <w:marLeft w:val="0"/>
          <w:marRight w:val="0"/>
          <w:marTop w:val="15"/>
          <w:marBottom w:val="0"/>
          <w:divBdr>
            <w:top w:val="none" w:sz="0" w:space="0" w:color="auto"/>
            <w:left w:val="none" w:sz="0" w:space="0" w:color="auto"/>
            <w:bottom w:val="none" w:sz="0" w:space="0" w:color="auto"/>
            <w:right w:val="none" w:sz="0" w:space="0" w:color="auto"/>
          </w:divBdr>
          <w:divsChild>
            <w:div w:id="901060799">
              <w:marLeft w:val="0"/>
              <w:marRight w:val="0"/>
              <w:marTop w:val="0"/>
              <w:marBottom w:val="0"/>
              <w:divBdr>
                <w:top w:val="none" w:sz="0" w:space="0" w:color="auto"/>
                <w:left w:val="none" w:sz="0" w:space="0" w:color="auto"/>
                <w:bottom w:val="none" w:sz="0" w:space="0" w:color="auto"/>
                <w:right w:val="none" w:sz="0" w:space="0" w:color="auto"/>
              </w:divBdr>
            </w:div>
          </w:divsChild>
        </w:div>
        <w:div w:id="1394039880">
          <w:marLeft w:val="0"/>
          <w:marRight w:val="0"/>
          <w:marTop w:val="15"/>
          <w:marBottom w:val="0"/>
          <w:divBdr>
            <w:top w:val="none" w:sz="0" w:space="0" w:color="auto"/>
            <w:left w:val="none" w:sz="0" w:space="0" w:color="auto"/>
            <w:bottom w:val="none" w:sz="0" w:space="0" w:color="auto"/>
            <w:right w:val="none" w:sz="0" w:space="0" w:color="auto"/>
          </w:divBdr>
          <w:divsChild>
            <w:div w:id="1104763952">
              <w:marLeft w:val="0"/>
              <w:marRight w:val="0"/>
              <w:marTop w:val="0"/>
              <w:marBottom w:val="0"/>
              <w:divBdr>
                <w:top w:val="none" w:sz="0" w:space="0" w:color="auto"/>
                <w:left w:val="none" w:sz="0" w:space="0" w:color="auto"/>
                <w:bottom w:val="none" w:sz="0" w:space="0" w:color="auto"/>
                <w:right w:val="none" w:sz="0" w:space="0" w:color="auto"/>
              </w:divBdr>
            </w:div>
          </w:divsChild>
        </w:div>
        <w:div w:id="1552762952">
          <w:marLeft w:val="0"/>
          <w:marRight w:val="0"/>
          <w:marTop w:val="15"/>
          <w:marBottom w:val="0"/>
          <w:divBdr>
            <w:top w:val="none" w:sz="0" w:space="0" w:color="auto"/>
            <w:left w:val="none" w:sz="0" w:space="0" w:color="auto"/>
            <w:bottom w:val="none" w:sz="0" w:space="0" w:color="auto"/>
            <w:right w:val="none" w:sz="0" w:space="0" w:color="auto"/>
          </w:divBdr>
          <w:divsChild>
            <w:div w:id="1469082524">
              <w:marLeft w:val="0"/>
              <w:marRight w:val="0"/>
              <w:marTop w:val="0"/>
              <w:marBottom w:val="0"/>
              <w:divBdr>
                <w:top w:val="none" w:sz="0" w:space="0" w:color="auto"/>
                <w:left w:val="none" w:sz="0" w:space="0" w:color="auto"/>
                <w:bottom w:val="none" w:sz="0" w:space="0" w:color="auto"/>
                <w:right w:val="none" w:sz="0" w:space="0" w:color="auto"/>
              </w:divBdr>
            </w:div>
          </w:divsChild>
        </w:div>
        <w:div w:id="1989282150">
          <w:marLeft w:val="0"/>
          <w:marRight w:val="0"/>
          <w:marTop w:val="15"/>
          <w:marBottom w:val="0"/>
          <w:divBdr>
            <w:top w:val="none" w:sz="0" w:space="0" w:color="auto"/>
            <w:left w:val="none" w:sz="0" w:space="0" w:color="auto"/>
            <w:bottom w:val="none" w:sz="0" w:space="0" w:color="auto"/>
            <w:right w:val="none" w:sz="0" w:space="0" w:color="auto"/>
          </w:divBdr>
          <w:divsChild>
            <w:div w:id="403064199">
              <w:marLeft w:val="0"/>
              <w:marRight w:val="0"/>
              <w:marTop w:val="0"/>
              <w:marBottom w:val="0"/>
              <w:divBdr>
                <w:top w:val="none" w:sz="0" w:space="0" w:color="auto"/>
                <w:left w:val="none" w:sz="0" w:space="0" w:color="auto"/>
                <w:bottom w:val="none" w:sz="0" w:space="0" w:color="auto"/>
                <w:right w:val="none" w:sz="0" w:space="0" w:color="auto"/>
              </w:divBdr>
            </w:div>
          </w:divsChild>
        </w:div>
        <w:div w:id="1318143036">
          <w:marLeft w:val="0"/>
          <w:marRight w:val="0"/>
          <w:marTop w:val="15"/>
          <w:marBottom w:val="0"/>
          <w:divBdr>
            <w:top w:val="none" w:sz="0" w:space="0" w:color="auto"/>
            <w:left w:val="none" w:sz="0" w:space="0" w:color="auto"/>
            <w:bottom w:val="none" w:sz="0" w:space="0" w:color="auto"/>
            <w:right w:val="none" w:sz="0" w:space="0" w:color="auto"/>
          </w:divBdr>
          <w:divsChild>
            <w:div w:id="345982516">
              <w:marLeft w:val="0"/>
              <w:marRight w:val="0"/>
              <w:marTop w:val="0"/>
              <w:marBottom w:val="0"/>
              <w:divBdr>
                <w:top w:val="none" w:sz="0" w:space="0" w:color="auto"/>
                <w:left w:val="none" w:sz="0" w:space="0" w:color="auto"/>
                <w:bottom w:val="none" w:sz="0" w:space="0" w:color="auto"/>
                <w:right w:val="none" w:sz="0" w:space="0" w:color="auto"/>
              </w:divBdr>
            </w:div>
          </w:divsChild>
        </w:div>
        <w:div w:id="931553056">
          <w:marLeft w:val="0"/>
          <w:marRight w:val="0"/>
          <w:marTop w:val="15"/>
          <w:marBottom w:val="0"/>
          <w:divBdr>
            <w:top w:val="none" w:sz="0" w:space="0" w:color="auto"/>
            <w:left w:val="none" w:sz="0" w:space="0" w:color="auto"/>
            <w:bottom w:val="none" w:sz="0" w:space="0" w:color="auto"/>
            <w:right w:val="none" w:sz="0" w:space="0" w:color="auto"/>
          </w:divBdr>
          <w:divsChild>
            <w:div w:id="1437166124">
              <w:marLeft w:val="0"/>
              <w:marRight w:val="0"/>
              <w:marTop w:val="0"/>
              <w:marBottom w:val="0"/>
              <w:divBdr>
                <w:top w:val="none" w:sz="0" w:space="0" w:color="auto"/>
                <w:left w:val="none" w:sz="0" w:space="0" w:color="auto"/>
                <w:bottom w:val="none" w:sz="0" w:space="0" w:color="auto"/>
                <w:right w:val="none" w:sz="0" w:space="0" w:color="auto"/>
              </w:divBdr>
            </w:div>
          </w:divsChild>
        </w:div>
        <w:div w:id="1820073007">
          <w:marLeft w:val="0"/>
          <w:marRight w:val="0"/>
          <w:marTop w:val="15"/>
          <w:marBottom w:val="0"/>
          <w:divBdr>
            <w:top w:val="none" w:sz="0" w:space="0" w:color="auto"/>
            <w:left w:val="none" w:sz="0" w:space="0" w:color="auto"/>
            <w:bottom w:val="none" w:sz="0" w:space="0" w:color="auto"/>
            <w:right w:val="none" w:sz="0" w:space="0" w:color="auto"/>
          </w:divBdr>
          <w:divsChild>
            <w:div w:id="18028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2022-01-07T03:43:00Z</dcterms:created>
  <dcterms:modified xsi:type="dcterms:W3CDTF">2022-01-07T04:00:00Z</dcterms:modified>
</cp:coreProperties>
</file>