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38" w:rsidRPr="00E10B06" w:rsidRDefault="00BB6638" w:rsidP="00E10B06">
      <w:pPr>
        <w:snapToGrid w:val="0"/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E10B06">
        <w:rPr>
          <w:rFonts w:ascii="方正小标宋简体" w:eastAsia="方正小标宋简体" w:hAnsi="宋体" w:cs="方正小标宋简体" w:hint="eastAsia"/>
          <w:sz w:val="44"/>
          <w:szCs w:val="44"/>
        </w:rPr>
        <w:t>邓州市</w:t>
      </w:r>
      <w:r w:rsidRPr="00E10B06">
        <w:rPr>
          <w:rFonts w:ascii="方正小标宋简体" w:eastAsia="方正小标宋简体" w:hAnsi="宋体" w:cs="方正小标宋简体"/>
          <w:sz w:val="44"/>
          <w:szCs w:val="44"/>
        </w:rPr>
        <w:t>2018</w:t>
      </w:r>
      <w:r w:rsidRPr="00E10B06">
        <w:rPr>
          <w:rFonts w:ascii="方正小标宋简体" w:eastAsia="方正小标宋简体" w:hAnsi="宋体" w:cs="方正小标宋简体" w:hint="eastAsia"/>
          <w:sz w:val="44"/>
          <w:szCs w:val="44"/>
        </w:rPr>
        <w:t>年文联部门预算基本情况说明</w:t>
      </w:r>
    </w:p>
    <w:p w:rsidR="00BB6638" w:rsidRDefault="00BB6638" w:rsidP="00E10B06">
      <w:pPr>
        <w:spacing w:line="600" w:lineRule="exact"/>
        <w:rPr>
          <w:rFonts w:cs="Times New Roman"/>
        </w:rPr>
      </w:pP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一、部门基本情况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、部门机构设置情况</w:t>
      </w:r>
      <w:r>
        <w:rPr>
          <w:rFonts w:ascii="仿宋_GB2312" w:eastAsia="仿宋_GB2312" w:cs="仿宋_GB2312" w:hint="eastAsia"/>
          <w:sz w:val="28"/>
          <w:szCs w:val="28"/>
        </w:rPr>
        <w:t>：邓州市文联内设办公室、编辑部。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、单位职责</w:t>
      </w:r>
      <w:r>
        <w:rPr>
          <w:rFonts w:ascii="仿宋_GB2312" w:eastAsia="仿宋_GB2312" w:cs="仿宋_GB2312" w:hint="eastAsia"/>
          <w:sz w:val="28"/>
          <w:szCs w:val="28"/>
        </w:rPr>
        <w:t>：贯彻落实党的文艺方针，推动文艺繁荣，提高市级文联文化影响力；开展对实际文学艺术家协会的联络，协调指导服务；开展文艺创作及文化交流，培养文艺创作人才，促进精神文化在社会建设中的引领作用。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二、预算收支增减变化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、收入支出预算总体情况说明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年本单位收入总计</w:t>
      </w:r>
      <w:r>
        <w:rPr>
          <w:rFonts w:ascii="仿宋_GB2312" w:eastAsia="仿宋_GB2312" w:cs="仿宋_GB2312"/>
          <w:sz w:val="28"/>
          <w:szCs w:val="28"/>
        </w:rPr>
        <w:t>27.83</w:t>
      </w:r>
      <w:r>
        <w:rPr>
          <w:rFonts w:ascii="仿宋_GB2312" w:eastAsia="仿宋_GB2312" w:cs="仿宋_GB2312" w:hint="eastAsia"/>
          <w:sz w:val="28"/>
          <w:szCs w:val="28"/>
        </w:rPr>
        <w:t>万元，支出总计</w:t>
      </w:r>
      <w:r>
        <w:rPr>
          <w:rFonts w:ascii="仿宋_GB2312" w:eastAsia="仿宋_GB2312" w:cs="仿宋_GB2312"/>
          <w:sz w:val="28"/>
          <w:szCs w:val="28"/>
        </w:rPr>
        <w:t>27.83</w:t>
      </w:r>
      <w:r>
        <w:rPr>
          <w:rFonts w:ascii="仿宋_GB2312" w:eastAsia="仿宋_GB2312" w:cs="仿宋_GB2312" w:hint="eastAsia"/>
          <w:sz w:val="28"/>
          <w:szCs w:val="28"/>
        </w:rPr>
        <w:t>万元，与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年相比，收入支出增长了</w:t>
      </w:r>
      <w:r>
        <w:rPr>
          <w:rFonts w:ascii="仿宋_GB2312" w:eastAsia="仿宋_GB2312" w:cs="仿宋_GB2312"/>
          <w:sz w:val="28"/>
          <w:szCs w:val="28"/>
        </w:rPr>
        <w:t>-3.27</w:t>
      </w:r>
      <w:r>
        <w:rPr>
          <w:rFonts w:ascii="仿宋_GB2312" w:eastAsia="仿宋_GB2312" w:cs="仿宋_GB2312" w:hint="eastAsia"/>
          <w:sz w:val="28"/>
          <w:szCs w:val="28"/>
        </w:rPr>
        <w:t>万元。主要原因是：财政拨款增长</w:t>
      </w:r>
      <w:r>
        <w:rPr>
          <w:rFonts w:ascii="仿宋_GB2312" w:eastAsia="仿宋_GB2312" w:cs="仿宋_GB2312"/>
          <w:sz w:val="28"/>
          <w:szCs w:val="28"/>
        </w:rPr>
        <w:t xml:space="preserve">    -3.27</w:t>
      </w:r>
      <w:r>
        <w:rPr>
          <w:rFonts w:ascii="仿宋_GB2312" w:eastAsia="仿宋_GB2312" w:cs="仿宋_GB2312" w:hint="eastAsia"/>
          <w:sz w:val="28"/>
          <w:szCs w:val="28"/>
        </w:rPr>
        <w:t>万元，结转结余收入增长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万元，政府性基金收入增长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万元，非税收入增长（降低）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、收入预算说明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年本单位收入预算</w:t>
      </w:r>
      <w:r>
        <w:rPr>
          <w:rFonts w:ascii="仿宋_GB2312" w:eastAsia="仿宋_GB2312" w:cs="仿宋_GB2312"/>
          <w:sz w:val="28"/>
          <w:szCs w:val="28"/>
        </w:rPr>
        <w:t>27.83</w:t>
      </w:r>
      <w:r>
        <w:rPr>
          <w:rFonts w:ascii="仿宋_GB2312" w:eastAsia="仿宋_GB2312" w:cs="仿宋_GB2312" w:hint="eastAsia"/>
          <w:sz w:val="28"/>
          <w:szCs w:val="28"/>
        </w:rPr>
        <w:t>万元，其中：财政拨款</w:t>
      </w:r>
      <w:r>
        <w:rPr>
          <w:rFonts w:ascii="仿宋_GB2312" w:eastAsia="仿宋_GB2312" w:cs="仿宋_GB2312"/>
          <w:sz w:val="28"/>
          <w:szCs w:val="28"/>
        </w:rPr>
        <w:t>27.83</w:t>
      </w:r>
      <w:r>
        <w:rPr>
          <w:rFonts w:ascii="仿宋_GB2312" w:eastAsia="仿宋_GB2312" w:cs="仿宋_GB2312" w:hint="eastAsia"/>
          <w:sz w:val="28"/>
          <w:szCs w:val="28"/>
        </w:rPr>
        <w:t>万元，非税收入计划完成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万元（包括收费收入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万元、罚没收入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万元、专项收入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万元，国有资产收益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万元，其他收入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万元）。政府性基金计划完成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万元。纳入专户收入计划完成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、支出预算说明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年支出预算</w:t>
      </w:r>
      <w:r>
        <w:rPr>
          <w:rFonts w:ascii="仿宋_GB2312" w:eastAsia="仿宋_GB2312" w:cs="仿宋_GB2312"/>
          <w:sz w:val="28"/>
          <w:szCs w:val="28"/>
        </w:rPr>
        <w:t>27.83</w:t>
      </w:r>
      <w:r>
        <w:rPr>
          <w:rFonts w:ascii="仿宋_GB2312" w:eastAsia="仿宋_GB2312" w:cs="仿宋_GB2312" w:hint="eastAsia"/>
          <w:sz w:val="28"/>
          <w:szCs w:val="28"/>
        </w:rPr>
        <w:t>万元，按照用途划分为：基本支出</w:t>
      </w:r>
      <w:r>
        <w:rPr>
          <w:rFonts w:ascii="仿宋_GB2312" w:eastAsia="仿宋_GB2312" w:cs="仿宋_GB2312"/>
          <w:sz w:val="28"/>
          <w:szCs w:val="28"/>
        </w:rPr>
        <w:t>19.83</w:t>
      </w:r>
      <w:r>
        <w:rPr>
          <w:rFonts w:ascii="仿宋_GB2312" w:eastAsia="仿宋_GB2312" w:cs="仿宋_GB2312" w:hint="eastAsia"/>
          <w:sz w:val="28"/>
          <w:szCs w:val="28"/>
        </w:rPr>
        <w:t>万元，占年度计划的</w:t>
      </w:r>
      <w:r>
        <w:rPr>
          <w:rFonts w:ascii="仿宋_GB2312" w:eastAsia="仿宋_GB2312" w:cs="仿宋_GB2312"/>
          <w:sz w:val="28"/>
          <w:szCs w:val="28"/>
        </w:rPr>
        <w:t>71.3%</w:t>
      </w:r>
      <w:r>
        <w:rPr>
          <w:rFonts w:ascii="仿宋_GB2312" w:eastAsia="仿宋_GB2312" w:cs="仿宋_GB2312" w:hint="eastAsia"/>
          <w:sz w:val="28"/>
          <w:szCs w:val="28"/>
        </w:rPr>
        <w:t>；项目支出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万元，占年度计划的</w:t>
      </w:r>
      <w:r>
        <w:rPr>
          <w:rFonts w:ascii="仿宋_GB2312" w:eastAsia="仿宋_GB2312" w:cs="仿宋_GB2312"/>
          <w:sz w:val="28"/>
          <w:szCs w:val="28"/>
        </w:rPr>
        <w:t xml:space="preserve">28.7%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三、“三公”经费支出预算情况说明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年“三公”经费预算为</w:t>
      </w:r>
      <w:r>
        <w:rPr>
          <w:rFonts w:ascii="仿宋_GB2312" w:eastAsia="仿宋_GB2312" w:cs="仿宋_GB2312"/>
          <w:sz w:val="28"/>
          <w:szCs w:val="28"/>
        </w:rPr>
        <w:t>0.4</w:t>
      </w:r>
      <w:r>
        <w:rPr>
          <w:rFonts w:ascii="仿宋_GB2312" w:eastAsia="仿宋_GB2312" w:cs="仿宋_GB2312" w:hint="eastAsia"/>
          <w:sz w:val="28"/>
          <w:szCs w:val="28"/>
        </w:rPr>
        <w:t>万元。比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年减少</w:t>
      </w:r>
      <w:r>
        <w:rPr>
          <w:rFonts w:ascii="仿宋_GB2312" w:eastAsia="仿宋_GB2312" w:cs="仿宋_GB2312"/>
          <w:sz w:val="28"/>
          <w:szCs w:val="28"/>
        </w:rPr>
        <w:t>0.8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具体支出情况如下：因公出国（境）费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万元，公务用车购置费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万元；公务用车维护费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万元；公务接待费</w:t>
      </w:r>
      <w:r>
        <w:rPr>
          <w:rFonts w:ascii="仿宋_GB2312" w:eastAsia="仿宋_GB2312" w:cs="仿宋_GB2312"/>
          <w:sz w:val="28"/>
          <w:szCs w:val="28"/>
        </w:rPr>
        <w:t>0.4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四、其他重要事项的情况说明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、机关运行经费支出情况说明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年机关运行经费支出预算</w:t>
      </w:r>
      <w:r>
        <w:rPr>
          <w:rFonts w:ascii="仿宋_GB2312" w:eastAsia="仿宋_GB2312" w:cs="仿宋_GB2312"/>
          <w:sz w:val="28"/>
          <w:szCs w:val="28"/>
        </w:rPr>
        <w:t>19.83</w:t>
      </w:r>
      <w:r>
        <w:rPr>
          <w:rFonts w:ascii="仿宋_GB2312" w:eastAsia="仿宋_GB2312" w:cs="仿宋_GB2312" w:hint="eastAsia"/>
          <w:sz w:val="28"/>
          <w:szCs w:val="28"/>
        </w:rPr>
        <w:t>万元，主要保障机关人员工资发放、机构正常运转及正常履职需要。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、政府采购支出情况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（无）政府采购预算安排。（有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个政府采购项目，金额是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万元）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、重点项目预算绩效目标（逐步公开</w:t>
      </w:r>
      <w:r>
        <w:rPr>
          <w:rFonts w:ascii="仿宋_GB2312" w:eastAsia="仿宋_GB2312" w:cs="仿宋_GB2312"/>
          <w:b/>
          <w:bCs/>
          <w:sz w:val="28"/>
          <w:szCs w:val="28"/>
        </w:rPr>
        <w:t>)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仿宋_GB2312"/>
          <w:b/>
          <w:bCs/>
          <w:sz w:val="28"/>
          <w:szCs w:val="28"/>
        </w:rPr>
      </w:pP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名词解释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、财政拨款收入：是指省级财政当年拨付的资金。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、事业收入：是指事业单位开展专业活动及辅助活动所取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得的收入。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、其他收入：是指部门取得的除“财政拨款”、“事业收入”、“事业单位经营收入”等以外的收入。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五、基本支出：是指为保障机构正常运转、完成日常工作任务所必需的开支，其内容包括人员经费和日常公用经费两部分。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六、项目支出：是指在基本支出之外，为完成特定的行政工作任务或事业发展目标所发生的支出。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BB6638" w:rsidRDefault="00BB6638" w:rsidP="00E10B06">
      <w:pPr>
        <w:spacing w:line="6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BB6638" w:rsidSect="00E10B06">
      <w:footerReference w:type="default" r:id="rId6"/>
      <w:pgSz w:w="11906" w:h="16838"/>
      <w:pgMar w:top="2211" w:right="1531" w:bottom="1871" w:left="1531" w:header="850" w:footer="1417" w:gutter="0"/>
      <w:pgNumType w:fmt="numberInDash"/>
      <w:cols w:space="425"/>
      <w:docGrid w:linePitch="318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38" w:rsidRDefault="00BB66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6638" w:rsidRDefault="00BB66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38" w:rsidRPr="00E10B06" w:rsidRDefault="00BB6638" w:rsidP="007E4E46">
    <w:pPr>
      <w:pStyle w:val="Footer"/>
      <w:framePr w:wrap="auto" w:vAnchor="text" w:hAnchor="margin" w:xAlign="center" w:y="1"/>
      <w:rPr>
        <w:rStyle w:val="PageNumber"/>
        <w:rFonts w:ascii="仿宋_GB2312" w:eastAsia="仿宋_GB2312" w:cs="Times New Roman"/>
        <w:sz w:val="24"/>
        <w:szCs w:val="24"/>
      </w:rPr>
    </w:pPr>
    <w:r w:rsidRPr="00E10B06">
      <w:rPr>
        <w:rStyle w:val="PageNumber"/>
        <w:rFonts w:ascii="仿宋_GB2312" w:eastAsia="仿宋_GB2312" w:cs="仿宋_GB2312"/>
        <w:sz w:val="24"/>
        <w:szCs w:val="24"/>
      </w:rPr>
      <w:fldChar w:fldCharType="begin"/>
    </w:r>
    <w:r w:rsidRPr="00E10B06">
      <w:rPr>
        <w:rStyle w:val="PageNumber"/>
        <w:rFonts w:ascii="仿宋_GB2312" w:eastAsia="仿宋_GB2312" w:cs="仿宋_GB2312"/>
        <w:sz w:val="24"/>
        <w:szCs w:val="24"/>
      </w:rPr>
      <w:instrText xml:space="preserve">PAGE  </w:instrText>
    </w:r>
    <w:r w:rsidRPr="00E10B06">
      <w:rPr>
        <w:rStyle w:val="PageNumber"/>
        <w:rFonts w:ascii="仿宋_GB2312" w:eastAsia="仿宋_GB2312" w:cs="仿宋_GB2312"/>
        <w:sz w:val="24"/>
        <w:szCs w:val="24"/>
      </w:rPr>
      <w:fldChar w:fldCharType="separate"/>
    </w:r>
    <w:r>
      <w:rPr>
        <w:rStyle w:val="PageNumber"/>
        <w:rFonts w:ascii="仿宋_GB2312" w:eastAsia="仿宋_GB2312" w:cs="仿宋_GB2312"/>
        <w:noProof/>
        <w:sz w:val="24"/>
        <w:szCs w:val="24"/>
      </w:rPr>
      <w:t>- 1 -</w:t>
    </w:r>
    <w:r w:rsidRPr="00E10B06">
      <w:rPr>
        <w:rStyle w:val="PageNumber"/>
        <w:rFonts w:ascii="仿宋_GB2312" w:eastAsia="仿宋_GB2312" w:cs="仿宋_GB2312"/>
        <w:sz w:val="24"/>
        <w:szCs w:val="24"/>
      </w:rPr>
      <w:fldChar w:fldCharType="end"/>
    </w:r>
  </w:p>
  <w:p w:rsidR="00BB6638" w:rsidRDefault="00BB663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38" w:rsidRDefault="00BB66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6638" w:rsidRDefault="00BB66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211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667"/>
    <w:rsid w:val="002A521B"/>
    <w:rsid w:val="006857C5"/>
    <w:rsid w:val="006E0667"/>
    <w:rsid w:val="00715345"/>
    <w:rsid w:val="007E4E46"/>
    <w:rsid w:val="009D37F8"/>
    <w:rsid w:val="00BB6638"/>
    <w:rsid w:val="00E10B06"/>
    <w:rsid w:val="00EE24E3"/>
    <w:rsid w:val="11D06AD8"/>
    <w:rsid w:val="16662645"/>
    <w:rsid w:val="2824548F"/>
    <w:rsid w:val="7C20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7DAB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7DAB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E10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220</Words>
  <Characters>1258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Administrator</cp:lastModifiedBy>
  <cp:revision>3</cp:revision>
  <dcterms:created xsi:type="dcterms:W3CDTF">2018-07-23T01:46:00Z</dcterms:created>
  <dcterms:modified xsi:type="dcterms:W3CDTF">2018-07-26T02:32:00Z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