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邓州市2018年环保局部门预算基本情况说明</w:t>
      </w:r>
    </w:p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：市环保局内设科室9个，分别是：办公室、总量控制科、规划财务室、污控科、环评科、辐射科、法宣科、人事科、大气污染防治科。局属单位3个，分别是：环境监测站、环境监察大队、乡镇环境保护监理站。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：依照国家和省、市有关法律、法规、政策，对全市环境保护工作实施统一监督管理，保护和改善生活环境与生态环境，防治污染和其他公害。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2018年本单位收入总计2636.54万元，支出总计2636.54万元，与2017年相比，收入支出增长了1288.73万元。主要原因是：财政拨款增长1642.40万元，结转结余收入增长    万元，政府性基金收入增长    万元，非税收入降低353.67万元。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2018年本单位收入预算2636.54万元，其中：财政拨款2418.74    万元，非税收入计划完成217.8万元（包括收费收入 0 万元、罚没收入37.8万元、专项收入180万元，国有资产收益  0  万元，其他收入   0 万元）。政府性基金计划完成 0   万元。纳入专户收入计划完成  0  万元。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2018年支出预算2636.54 万元，按照用途划分为：基本支出541.14 万元，占年度计划的 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0.52</w:t>
      </w:r>
      <w:r>
        <w:rPr>
          <w:rFonts w:hint="eastAsia" w:ascii="仿宋_GB2312" w:eastAsia="仿宋_GB2312"/>
          <w:sz w:val="28"/>
          <w:szCs w:val="28"/>
        </w:rPr>
        <w:t xml:space="preserve"> %；项目支出2095.40万元，占年度计划的79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.48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2018年“三公”经费预算为52.75万元。比2017年减少24.25万元。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万元，公务用车购置费0万元；公务用车维护费12.60万元；公务接待费40.15万元。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2018年机关运行经费支出预算541.14 万元，主要保障机关人员工资发放、机构正常运转及正常履职需要。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2018年无政府采购预算安排。（有  0个政府采购项目，金额是   万元）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1C3F90"/>
    <w:rsid w:val="005E1D2B"/>
    <w:rsid w:val="006857C5"/>
    <w:rsid w:val="006E0667"/>
    <w:rsid w:val="00715345"/>
    <w:rsid w:val="009342B6"/>
    <w:rsid w:val="00AF7236"/>
    <w:rsid w:val="229E40CF"/>
    <w:rsid w:val="67FD6DF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2018-07-30T03:23:29Z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