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邓州市2018年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民政局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部门预算基本情况说明</w:t>
      </w:r>
    </w:p>
    <w:p/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一、部门基本情况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1、部门机构设置情况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邓州市民政局内设办公室、民间组织管理科、优抚科、军队离退休干部安置科、复员退伍军人安置科、救灾科、区划地名科、基层政权和社区建设科、社会福利和慈善科、社会事务科、规划财务科、人事科等科室。局属二级单位有：军队离退休干部休养所、康复医院、殡仪馆、光荣院、儿童福利院、烈士陵园管理处、流浪乞讨救助站、殡葬管理所、勘界工作领导小组办公室、最低生活保障中心、老龄工作委员会办公室、城乡医疗救助工作站、公墓管理处、社会福利有奖募捐委员会办公室、福利生产管理所等单位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单位职责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贯彻民政工作法律、法规和方针、政策；拟订并组织实施全市民政事业发展规划；指导全市民政工作的改革与发展：承担依法对社会团体和民办非企业单位进行登记管理和监察责任；落实优抚政策，组织指导全市的拥军优属、拥政爱民活动；监督实施各类优抚标准；审核报批、褒扬革命烈士；指导退役军人、人民警察、国家机关工作人员、民兵的伤残评定工作；指导全市优抚医疗事业单位、光荣院和烈士纪念建筑物保护单位的管理工作；落实军队离退休人员服务管理政策和全市军队离退休干部、军工（遗属）的有关政治、生活待遇；落实救灾工作政策；负责组织核查并统一发布灾情，筹措、管理和分配救灾款物并监督使用；牵头拟订全市社会救助规划、措施、标准；健全城乡社会救助体系；负责城乡居民最低生活保障、农村五保供养、医疗救助、临时救助、生活无着人员救助工作；指导救助管理站建设工作。负责落实全市行政区划管理政策和行政区域界线、地名管理办法；负责落实城乡基层群众自治建设和社区建设政策；指导社区服务体系建设；提出加强和改进基层政权建设的建议；推动村务公开和基层民主政治建设；负责组织实施社会福利事业发展规划和政策；负责全市福利彩票的发行和各类社会福利资金的管理工作；组织实施促进慈善事业发展的政策；组织社会捐助和救灾捐赠工作；指导孤儿、残疾人等特殊群体权益保障工作，负责全市社会福利企业的认定和扶持保护政策的落实；负责组织实施婚姻管理、殡葬管理和儿童收养政策；指导婚姻登记、殡葬管理和儿童收养工作；负责推进婚俗和殡葬改革；组织实施老龄事业发展规划和政策；负责实施社会工作发展规划、政策和职业规范，推进社会工作人才队伍建设和相关志愿者队伍建设；承办市政府交办的其他事项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二、预算收支增减变化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1、收入支出预算总体情况说明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2018年本单位收入总计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25891.28</w:t>
      </w:r>
      <w:r>
        <w:rPr>
          <w:rFonts w:hint="eastAsia" w:ascii="仿宋_GB2312" w:eastAsia="仿宋_GB2312"/>
          <w:sz w:val="28"/>
          <w:szCs w:val="28"/>
        </w:rPr>
        <w:t>万元，支出总计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25891.28</w:t>
      </w:r>
      <w:r>
        <w:rPr>
          <w:rFonts w:hint="eastAsia" w:ascii="仿宋_GB2312" w:eastAsia="仿宋_GB2312"/>
          <w:sz w:val="28"/>
          <w:szCs w:val="28"/>
        </w:rPr>
        <w:t>万元，与2017年相比，收入支出增长</w:t>
      </w:r>
      <w:r>
        <w:rPr>
          <w:rFonts w:hint="eastAsia" w:ascii="仿宋_GB2312" w:eastAsia="仿宋_GB2312"/>
          <w:sz w:val="28"/>
          <w:szCs w:val="28"/>
          <w:lang w:eastAsia="zh-CN"/>
        </w:rPr>
        <w:t>了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4565.51</w:t>
      </w:r>
      <w:r>
        <w:rPr>
          <w:rFonts w:hint="eastAsia" w:ascii="仿宋_GB2312" w:eastAsia="仿宋_GB2312"/>
          <w:sz w:val="28"/>
          <w:szCs w:val="28"/>
        </w:rPr>
        <w:t>万元。主要原因是：财政拨款增长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3697.86</w:t>
      </w:r>
      <w:r>
        <w:rPr>
          <w:rFonts w:hint="eastAsia" w:ascii="仿宋_GB2312" w:eastAsia="仿宋_GB2312"/>
          <w:sz w:val="28"/>
          <w:szCs w:val="28"/>
        </w:rPr>
        <w:t>万元，结转结余收入增长    万元，政府性基金收入增长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867.65</w:t>
      </w:r>
      <w:r>
        <w:rPr>
          <w:rFonts w:hint="eastAsia" w:ascii="仿宋_GB2312" w:eastAsia="仿宋_GB2312"/>
          <w:sz w:val="28"/>
          <w:szCs w:val="28"/>
        </w:rPr>
        <w:t>万元，非税收入增长（降低）    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2、收入预算说明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2018年本单位收入预算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25891.28</w:t>
      </w:r>
      <w:r>
        <w:rPr>
          <w:rFonts w:hint="eastAsia" w:ascii="仿宋_GB2312" w:eastAsia="仿宋_GB2312"/>
          <w:sz w:val="28"/>
          <w:szCs w:val="28"/>
        </w:rPr>
        <w:t>万元，其中：财政拨款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24425.33</w:t>
      </w:r>
      <w:r>
        <w:rPr>
          <w:rFonts w:hint="eastAsia" w:ascii="仿宋_GB2312" w:eastAsia="仿宋_GB2312"/>
          <w:sz w:val="28"/>
          <w:szCs w:val="28"/>
        </w:rPr>
        <w:t>万元，非税收入计划完成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23.3</w:t>
      </w:r>
      <w:r>
        <w:rPr>
          <w:rFonts w:hint="eastAsia" w:ascii="仿宋_GB2312" w:eastAsia="仿宋_GB2312"/>
          <w:sz w:val="28"/>
          <w:szCs w:val="28"/>
        </w:rPr>
        <w:t xml:space="preserve">万元（包括收费收入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23.3</w:t>
      </w:r>
      <w:r>
        <w:rPr>
          <w:rFonts w:hint="eastAsia" w:ascii="仿宋_GB2312" w:eastAsia="仿宋_GB2312"/>
          <w:sz w:val="28"/>
          <w:szCs w:val="28"/>
        </w:rPr>
        <w:t>万元、罚没收入    万元、专项收入    万元，国有资产收益    万元，其他收入    万元）。政府性基金计划完成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1442.65</w:t>
      </w:r>
      <w:r>
        <w:rPr>
          <w:rFonts w:hint="eastAsia" w:ascii="仿宋_GB2312" w:eastAsia="仿宋_GB2312"/>
          <w:sz w:val="28"/>
          <w:szCs w:val="28"/>
        </w:rPr>
        <w:t xml:space="preserve">万元。纳入专户收入计划完成    万元。  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3、支出预算说明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25891.28</w:t>
      </w:r>
      <w:r>
        <w:rPr>
          <w:rFonts w:hint="eastAsia" w:ascii="仿宋_GB2312" w:eastAsia="仿宋_GB2312"/>
          <w:sz w:val="28"/>
          <w:szCs w:val="28"/>
        </w:rPr>
        <w:t>万元，按照用途划分为：基本支出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764.11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%；项目支出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25127.17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97</w:t>
      </w:r>
      <w:r>
        <w:rPr>
          <w:rFonts w:hint="eastAsia" w:ascii="仿宋_GB2312" w:eastAsia="仿宋_GB2312"/>
          <w:sz w:val="28"/>
          <w:szCs w:val="28"/>
        </w:rPr>
        <w:t xml:space="preserve">%。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三、“三公”经费支出预算情况说明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2018年“三公”经费预算为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27.9</w:t>
      </w:r>
      <w:r>
        <w:rPr>
          <w:rFonts w:hint="eastAsia" w:ascii="仿宋_GB2312" w:eastAsia="仿宋_GB2312"/>
          <w:sz w:val="28"/>
          <w:szCs w:val="28"/>
        </w:rPr>
        <w:t>万元。比2017年减少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30.1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具体支出情况如下：因公出国（境）费    万元，公务用车购置费   万元；公务用车维护费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3.9</w:t>
      </w:r>
      <w:r>
        <w:rPr>
          <w:rFonts w:hint="eastAsia" w:ascii="仿宋_GB2312" w:eastAsia="仿宋_GB2312"/>
          <w:sz w:val="28"/>
          <w:szCs w:val="28"/>
        </w:rPr>
        <w:t>万元；公务接待费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24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四、其他重要事项的情况说明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1、机关运行经费支出情况说明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2018年机关运行经费支出预算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764.11</w:t>
      </w:r>
      <w:r>
        <w:rPr>
          <w:rFonts w:hint="eastAsia" w:ascii="仿宋_GB2312" w:eastAsia="仿宋_GB2312"/>
          <w:sz w:val="28"/>
          <w:szCs w:val="28"/>
        </w:rPr>
        <w:t>万元，主要保障机关人员工资发放、机构正常运转及正常履职需要。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2、政府采购支出情况</w:t>
      </w:r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2018年有政府采购预算安排。（有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个政府采购项目，金额是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690</w:t>
      </w:r>
      <w:r>
        <w:rPr>
          <w:rFonts w:hint="eastAsia" w:ascii="仿宋_GB2312" w:eastAsia="仿宋_GB2312"/>
          <w:sz w:val="28"/>
          <w:szCs w:val="28"/>
        </w:rPr>
        <w:t>万元）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3、重点项目预算绩效目标（逐步公开)</w:t>
      </w: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名词解释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1、财政拨款收入：是指省级财政当年拨付的资金。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2、事业收入：是指事业单位开展专业活动及辅助活动所取 得的收入。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  3、其他收入：是指部门取得的除“财政拨款”、“事业收入”、“事业单位经营收入”等以外的收入。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五、基本支出：是指为保障机构正常运转、完成日常工作任务所必需的开支，其内容包括人员经费和日常公用经费两部分。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六、项目支出：是指在基本支出之外，为完成特定的行政工作任务或事业发展目标所发生的支出。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C510AC"/>
    <w:multiLevelType w:val="singleLevel"/>
    <w:tmpl w:val="C7C510A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6857C5"/>
    <w:rsid w:val="006E0667"/>
    <w:rsid w:val="00715345"/>
    <w:rsid w:val="257470D8"/>
    <w:rsid w:val="3DDD52EC"/>
    <w:rsid w:val="673627C3"/>
    <w:rsid w:val="7936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211</Words>
  <Characters>1203</Characters>
  <Lines>10</Lines>
  <Paragraphs>2</Paragraphs>
  <TotalTime>6</TotalTime>
  <ScaleCrop>false</ScaleCrop>
  <LinksUpToDate>false</LinksUpToDate>
  <CharactersWithSpaces>1412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2018-07-23T01:46:00Z</dcterms:created>
  <dc:creator>null,null,总收发</dc:creator>
  <cp:lastModifiedBy>Administrator</cp:lastModifiedBy>
  <cp:lastPrinted>2018-07-25T09:41:41Z</cp:lastPrinted>
  <dcterms:modified xsi:type="dcterms:W3CDTF">2018-07-25T09:44:00Z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