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 w:color="auto"/>
          <w:lang w:eastAsia="zh-CN"/>
        </w:rPr>
        <w:t>邓州市编办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单位2018年部门预算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</w:t>
      </w:r>
      <w:bookmarkStart w:id="0" w:name="_GoBack"/>
      <w:bookmarkEnd w:id="0"/>
      <w:r>
        <w:rPr>
          <w:rFonts w:hint="eastAsia" w:ascii="仿宋_GB2312" w:hAnsi="宋体" w:eastAsia="仿宋_GB2312" w:cs="Courier New"/>
          <w:sz w:val="32"/>
          <w:szCs w:val="32"/>
        </w:rPr>
        <w:t>车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CDE7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2019-01-30T11:49:00Z</dcterms:created>
  <dc:creator>User</dc:creator>
  <cp:lastModifiedBy>Mr.</cp:lastModifiedBy>
  <dcterms:modified xsi:type="dcterms:W3CDTF">2019-02-01T07:49:08Z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