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/>
          <w:w w:val="90"/>
          <w:sz w:val="44"/>
          <w:szCs w:val="32"/>
        </w:rPr>
      </w:pPr>
      <w:r>
        <w:rPr>
          <w:rFonts w:hint="eastAsia" w:ascii="方正小标宋简体" w:hAnsi="黑体" w:eastAsia="方正小标宋简体"/>
          <w:w w:val="90"/>
          <w:sz w:val="44"/>
          <w:szCs w:val="32"/>
        </w:rPr>
        <w:t>邓州市</w:t>
      </w:r>
      <w:r>
        <w:rPr>
          <w:rFonts w:hint="eastAsia" w:ascii="方正小标宋简体" w:hAnsi="黑体" w:eastAsia="方正小标宋简体"/>
          <w:w w:val="90"/>
          <w:sz w:val="44"/>
          <w:szCs w:val="32"/>
          <w:lang w:eastAsia="zh-CN"/>
        </w:rPr>
        <w:t>文学艺术界联合会</w:t>
      </w:r>
      <w:r>
        <w:rPr>
          <w:rFonts w:hint="eastAsia" w:ascii="方正小标宋简体" w:hAnsi="黑体" w:eastAsia="方正小标宋简体"/>
          <w:w w:val="90"/>
          <w:sz w:val="44"/>
          <w:szCs w:val="32"/>
        </w:rPr>
        <w:t>2019年</w:t>
      </w:r>
      <w:r>
        <w:rPr>
          <w:rFonts w:hint="eastAsia" w:ascii="方正小标宋简体" w:hAnsi="黑体" w:eastAsia="方正小标宋简体"/>
          <w:w w:val="90"/>
          <w:sz w:val="44"/>
          <w:szCs w:val="32"/>
          <w:lang w:eastAsia="zh-CN"/>
        </w:rPr>
        <w:t>部门</w:t>
      </w:r>
      <w:r>
        <w:rPr>
          <w:rFonts w:hint="eastAsia" w:ascii="方正小标宋简体" w:hAnsi="黑体" w:eastAsia="方正小标宋简体"/>
          <w:w w:val="90"/>
          <w:sz w:val="44"/>
          <w:szCs w:val="32"/>
        </w:rPr>
        <w:t>预算基本情况说明</w:t>
      </w:r>
    </w:p>
    <w:p>
      <w:pPr>
        <w:jc w:val="center"/>
        <w:rPr>
          <w:rFonts w:hint="eastAsia" w:asciiTheme="majorEastAsia" w:hAnsiTheme="majorEastAsia" w:eastAsiaTheme="majorEastAsia"/>
          <w:b/>
          <w:sz w:val="28"/>
          <w:szCs w:val="32"/>
        </w:rPr>
      </w:pPr>
    </w:p>
    <w:p>
      <w:pPr>
        <w:jc w:val="center"/>
        <w:rPr>
          <w:rFonts w:hint="eastAsia" w:ascii="黑体" w:eastAsia="黑体" w:hAnsiTheme="majorEastAsia"/>
          <w:sz w:val="36"/>
          <w:szCs w:val="32"/>
        </w:rPr>
      </w:pPr>
      <w:r>
        <w:rPr>
          <w:rFonts w:hint="eastAsia" w:ascii="黑体" w:eastAsia="黑体" w:hAnsiTheme="majorEastAsia"/>
          <w:sz w:val="36"/>
          <w:szCs w:val="32"/>
        </w:rPr>
        <w:t>目  录</w:t>
      </w:r>
    </w:p>
    <w:p>
      <w:pPr>
        <w:spacing w:before="312" w:beforeLines="100"/>
        <w:jc w:val="left"/>
        <w:rPr>
          <w:rFonts w:hint="eastAsia"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第一部分  邓州市</w:t>
      </w:r>
      <w:r>
        <w:rPr>
          <w:rFonts w:hint="eastAsia" w:ascii="黑体" w:eastAsia="黑体" w:hAnsiTheme="majorEastAsia"/>
          <w:sz w:val="32"/>
          <w:szCs w:val="32"/>
          <w:lang w:eastAsia="zh-CN"/>
        </w:rPr>
        <w:t>文学艺术界联合会</w:t>
      </w:r>
      <w:r>
        <w:rPr>
          <w:rFonts w:hint="eastAsia" w:ascii="黑体" w:eastAsia="黑体" w:hAnsiTheme="majorEastAsia"/>
          <w:sz w:val="32"/>
          <w:szCs w:val="32"/>
        </w:rPr>
        <w:t>概况</w:t>
      </w:r>
    </w:p>
    <w:p>
      <w:pPr>
        <w:pStyle w:val="9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主要职能</w:t>
      </w:r>
    </w:p>
    <w:p>
      <w:pPr>
        <w:pStyle w:val="9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机构设置情况</w:t>
      </w:r>
    </w:p>
    <w:p>
      <w:pPr>
        <w:pStyle w:val="9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部门预算单位构成</w:t>
      </w:r>
    </w:p>
    <w:p>
      <w:pPr>
        <w:jc w:val="left"/>
        <w:rPr>
          <w:rFonts w:hint="eastAsia"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第二部分 邓州市</w:t>
      </w:r>
      <w:r>
        <w:rPr>
          <w:rFonts w:hint="eastAsia" w:ascii="黑体" w:eastAsia="黑体" w:hAnsiTheme="majorEastAsia"/>
          <w:sz w:val="32"/>
          <w:szCs w:val="32"/>
          <w:lang w:eastAsia="zh-CN"/>
        </w:rPr>
        <w:t>文学艺术界联合会</w:t>
      </w:r>
      <w:r>
        <w:rPr>
          <w:rFonts w:hint="eastAsia" w:ascii="黑体" w:eastAsia="黑体" w:hAnsiTheme="majorEastAsia"/>
          <w:sz w:val="32"/>
          <w:szCs w:val="32"/>
        </w:rPr>
        <w:t>2019年部门预算情况说明</w:t>
      </w:r>
    </w:p>
    <w:p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第三部分 名词解释</w:t>
      </w:r>
    </w:p>
    <w:p>
      <w:pPr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附件</w:t>
      </w:r>
      <w:r>
        <w:rPr>
          <w:rFonts w:hint="eastAsia" w:ascii="仿宋_GB2312" w:eastAsia="仿宋_GB2312" w:hAnsiTheme="majorEastAsia"/>
          <w:sz w:val="32"/>
          <w:szCs w:val="32"/>
        </w:rPr>
        <w:t>：2019年度部门预算表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一、部门收支总体情况表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二、部门收入总体情况表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三、部门支出总体情况表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四、财政拨款收支总体情况表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五、一般公共预算支出情况表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六、一般公共预算基本支出情况表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七、一般公共预算“三公”经费支出情况表</w:t>
      </w:r>
    </w:p>
    <w:p>
      <w:pPr>
        <w:ind w:firstLine="425" w:firstLineChars="133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八、政府性基金预算支出情况表</w:t>
      </w:r>
    </w:p>
    <w:p>
      <w:pPr>
        <w:widowControl/>
        <w:jc w:val="left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ascii="仿宋_GB2312" w:eastAsia="仿宋_GB2312" w:hAnsiTheme="majorEastAsia"/>
          <w:b/>
          <w:sz w:val="32"/>
          <w:szCs w:val="32"/>
        </w:rPr>
        <w:br w:type="page"/>
      </w:r>
    </w:p>
    <w:p>
      <w:pPr>
        <w:jc w:val="center"/>
        <w:rPr>
          <w:rFonts w:hint="eastAsia"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第一部分  邓州市</w:t>
      </w:r>
      <w:r>
        <w:rPr>
          <w:rFonts w:hint="eastAsia" w:ascii="黑体" w:eastAsia="黑体" w:hAnsiTheme="majorEastAsia"/>
          <w:sz w:val="32"/>
          <w:szCs w:val="32"/>
          <w:lang w:eastAsia="zh-CN"/>
        </w:rPr>
        <w:t>文学艺术界联合会</w:t>
      </w:r>
      <w:r>
        <w:rPr>
          <w:rFonts w:hint="eastAsia" w:ascii="黑体" w:eastAsia="黑体" w:hAnsiTheme="majorEastAsia"/>
          <w:sz w:val="32"/>
          <w:szCs w:val="32"/>
        </w:rPr>
        <w:t>概况</w:t>
      </w:r>
    </w:p>
    <w:p>
      <w:pPr>
        <w:rPr>
          <w:rFonts w:hint="eastAsia" w:ascii="仿宋_GB2312" w:eastAsia="仿宋_GB2312"/>
          <w:b/>
          <w:sz w:val="32"/>
          <w:szCs w:val="32"/>
        </w:rPr>
      </w:pPr>
    </w:p>
    <w:p>
      <w:pPr>
        <w:ind w:firstLine="566" w:firstLineChars="177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一、主要职责</w:t>
      </w:r>
    </w:p>
    <w:p>
      <w:pPr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邓州市文学艺术界联合会主要职责：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、贯彻党的文艺方针和政策，突出抓好出作品、出人才工作，向党和政府反映文艺界情况；2、协同有关部门搞好文学艺术重点项目的生产、实施。3、对所属文艺家协会、乡镇、企业文艺社团等会员履行联络、协调、服务和业务指导。4、承办市委、政府交办的其他工作。</w:t>
      </w:r>
    </w:p>
    <w:p>
      <w:pPr>
        <w:ind w:firstLine="566" w:firstLineChars="177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二、机构设置情况</w:t>
      </w:r>
    </w:p>
    <w:p>
      <w:pPr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邓州市文学艺术界联合会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，成立于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1987年3月，机构规格相当于正科级。部门设置情况：1.办公室：负责全年的日常事务，制定市级文艺规划和年度工作规划，相关工作的综合协调和处理。2.编辑部：编辑出版《穰原》杂志，强化文艺创作和理论学习。在职人员3人。</w:t>
      </w:r>
    </w:p>
    <w:p>
      <w:pPr>
        <w:ind w:firstLine="566" w:firstLineChars="177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三、部门预算单位构成</w:t>
      </w:r>
    </w:p>
    <w:p>
      <w:pPr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邓州市</w:t>
      </w:r>
      <w:r>
        <w:rPr>
          <w:rFonts w:hint="eastAsia" w:ascii="仿宋_GB2312" w:eastAsia="仿宋_GB2312"/>
          <w:sz w:val="32"/>
          <w:szCs w:val="32"/>
          <w:lang w:eastAsia="zh-CN"/>
        </w:rPr>
        <w:t>文学艺术界联合会</w:t>
      </w:r>
      <w:r>
        <w:rPr>
          <w:rFonts w:hint="eastAsia" w:ascii="仿宋_GB2312" w:eastAsia="仿宋_GB2312"/>
          <w:sz w:val="32"/>
          <w:szCs w:val="32"/>
        </w:rPr>
        <w:t>部门预算包括</w:t>
      </w:r>
      <w:r>
        <w:rPr>
          <w:rFonts w:hint="eastAsia" w:ascii="仿宋_GB2312" w:eastAsia="仿宋_GB2312"/>
          <w:sz w:val="32"/>
          <w:szCs w:val="32"/>
          <w:lang w:eastAsia="zh-CN"/>
        </w:rPr>
        <w:t>文联</w:t>
      </w:r>
      <w:r>
        <w:rPr>
          <w:rFonts w:hint="eastAsia" w:ascii="仿宋_GB2312" w:eastAsia="仿宋_GB2312"/>
          <w:sz w:val="32"/>
          <w:szCs w:val="32"/>
        </w:rPr>
        <w:t>本级预算。</w:t>
      </w:r>
    </w:p>
    <w:p>
      <w:pPr>
        <w:ind w:firstLine="566" w:firstLineChars="177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1、</w:t>
      </w:r>
      <w:r>
        <w:rPr>
          <w:rFonts w:hint="eastAsia" w:ascii="仿宋_GB2312" w:eastAsia="仿宋_GB2312"/>
          <w:sz w:val="32"/>
          <w:szCs w:val="32"/>
          <w:lang w:eastAsia="zh-CN"/>
        </w:rPr>
        <w:t>邓州市文学艺术界联合会</w:t>
      </w:r>
    </w:p>
    <w:p>
      <w:pPr>
        <w:ind w:firstLine="566" w:firstLineChars="177"/>
        <w:rPr>
          <w:rFonts w:hint="eastAsia" w:ascii="仿宋_GB2312" w:eastAsia="仿宋_GB2312"/>
          <w:sz w:val="32"/>
          <w:szCs w:val="32"/>
        </w:rPr>
      </w:pPr>
    </w:p>
    <w:p>
      <w:pPr>
        <w:ind w:firstLine="566" w:firstLineChars="177"/>
        <w:rPr>
          <w:rFonts w:hint="eastAsia" w:ascii="仿宋_GB2312" w:eastAsia="仿宋_GB2312"/>
          <w:sz w:val="32"/>
          <w:szCs w:val="32"/>
        </w:rPr>
      </w:pPr>
    </w:p>
    <w:p>
      <w:pPr>
        <w:ind w:firstLine="566" w:firstLineChars="177"/>
        <w:rPr>
          <w:rFonts w:hint="eastAsia" w:ascii="仿宋_GB2312" w:eastAsia="仿宋_GB2312"/>
          <w:sz w:val="32"/>
          <w:szCs w:val="32"/>
        </w:rPr>
      </w:pPr>
    </w:p>
    <w:p>
      <w:pPr>
        <w:ind w:firstLine="566" w:firstLineChars="177"/>
        <w:rPr>
          <w:rFonts w:hint="eastAsia" w:ascii="仿宋_GB2312" w:eastAsia="仿宋_GB2312"/>
          <w:sz w:val="32"/>
          <w:szCs w:val="32"/>
        </w:rPr>
      </w:pPr>
    </w:p>
    <w:p>
      <w:pPr>
        <w:numPr>
          <w:ilvl w:val="0"/>
          <w:numId w:val="2"/>
        </w:numPr>
        <w:jc w:val="center"/>
        <w:rPr>
          <w:rFonts w:hint="eastAsia"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邓州市</w:t>
      </w:r>
      <w:r>
        <w:rPr>
          <w:rFonts w:hint="eastAsia" w:ascii="黑体" w:eastAsia="黑体" w:hAnsiTheme="majorEastAsia"/>
          <w:sz w:val="32"/>
          <w:szCs w:val="32"/>
          <w:lang w:eastAsia="zh-CN"/>
        </w:rPr>
        <w:t>文学艺术界联合会</w:t>
      </w:r>
      <w:r>
        <w:rPr>
          <w:rFonts w:hint="eastAsia" w:ascii="黑体" w:eastAsia="黑体" w:hAnsiTheme="majorEastAsia"/>
          <w:sz w:val="32"/>
          <w:szCs w:val="32"/>
        </w:rPr>
        <w:t>2019年部门预算情况</w:t>
      </w:r>
    </w:p>
    <w:p>
      <w:pPr>
        <w:numPr>
          <w:ilvl w:val="0"/>
          <w:numId w:val="0"/>
        </w:numPr>
        <w:ind w:firstLine="4160" w:firstLineChars="1300"/>
        <w:jc w:val="both"/>
        <w:rPr>
          <w:rFonts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说明</w:t>
      </w:r>
    </w:p>
    <w:p>
      <w:pPr>
        <w:spacing w:before="312" w:beforeLines="100"/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</w:rPr>
        <w:t>收入支出预算总体情况说明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2019年收入总计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37.15</w:t>
      </w:r>
      <w:r>
        <w:rPr>
          <w:rFonts w:hint="eastAsia" w:ascii="仿宋_GB2312" w:eastAsia="仿宋_GB2312"/>
          <w:sz w:val="32"/>
          <w:szCs w:val="32"/>
        </w:rPr>
        <w:t>万元，支出总计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37.15</w:t>
      </w:r>
      <w:r>
        <w:rPr>
          <w:rFonts w:hint="eastAsia" w:ascii="仿宋_GB2312" w:eastAsia="仿宋_GB2312"/>
          <w:sz w:val="32"/>
          <w:szCs w:val="32"/>
        </w:rPr>
        <w:t>万元，与2018年相比，收入支出增长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9.32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增长25%</w:t>
      </w:r>
      <w:r>
        <w:rPr>
          <w:rFonts w:hint="eastAsia" w:ascii="仿宋_GB2312" w:eastAsia="仿宋_GB2312"/>
          <w:sz w:val="32"/>
          <w:szCs w:val="32"/>
        </w:rPr>
        <w:t>。主要原因是：</w:t>
      </w:r>
      <w:r>
        <w:rPr>
          <w:rFonts w:hint="eastAsia" w:ascii="仿宋_GB2312" w:eastAsia="仿宋_GB2312"/>
          <w:sz w:val="32"/>
          <w:szCs w:val="32"/>
          <w:lang w:eastAsia="zh-CN"/>
        </w:rPr>
        <w:t>人员基本工资增加和住房公积金单位部分增加。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ind w:firstLine="567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</w:rPr>
        <w:t>收入预算总体情况说明</w:t>
      </w:r>
    </w:p>
    <w:p>
      <w:pPr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2019年收入预算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37.15</w:t>
      </w:r>
      <w:r>
        <w:rPr>
          <w:rFonts w:hint="eastAsia" w:ascii="仿宋_GB2312" w:eastAsia="仿宋_GB2312"/>
          <w:sz w:val="32"/>
          <w:szCs w:val="32"/>
        </w:rPr>
        <w:t>万元，其中：</w:t>
      </w:r>
      <w:r>
        <w:rPr>
          <w:rFonts w:hint="eastAsia" w:eastAsia="仿宋_GB2312"/>
          <w:sz w:val="32"/>
          <w:szCs w:val="32"/>
        </w:rPr>
        <w:t>一般公共预算收入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37.15</w:t>
      </w:r>
      <w:r>
        <w:rPr>
          <w:rFonts w:hint="eastAsia" w:ascii="仿宋_GB2312" w:eastAsia="仿宋_GB2312"/>
          <w:sz w:val="32"/>
          <w:szCs w:val="32"/>
        </w:rPr>
        <w:t>万元，政府性基金收入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万元，专户管理的教育收费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 xml:space="preserve">万元。   </w:t>
      </w:r>
    </w:p>
    <w:p>
      <w:pPr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</w:t>
      </w:r>
      <w:r>
        <w:rPr>
          <w:rFonts w:hint="eastAsia" w:ascii="黑体" w:hAnsi="黑体" w:eastAsia="黑体"/>
          <w:sz w:val="32"/>
          <w:szCs w:val="32"/>
        </w:rPr>
        <w:t>支出预算总体情况说明</w:t>
      </w:r>
    </w:p>
    <w:p>
      <w:pPr>
        <w:ind w:firstLine="70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37.15</w:t>
      </w:r>
      <w:r>
        <w:rPr>
          <w:rFonts w:hint="eastAsia" w:ascii="仿宋_GB2312" w:eastAsia="仿宋_GB2312"/>
          <w:sz w:val="32"/>
          <w:szCs w:val="32"/>
        </w:rPr>
        <w:t xml:space="preserve">万元，按照用途划分为：基本支出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29.15</w:t>
      </w:r>
      <w:r>
        <w:rPr>
          <w:rFonts w:hint="eastAsia" w:ascii="仿宋_GB2312" w:eastAsia="仿宋_GB2312"/>
          <w:sz w:val="32"/>
          <w:szCs w:val="32"/>
        </w:rPr>
        <w:t>万元，占年度计划的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78</w:t>
      </w:r>
      <w:r>
        <w:rPr>
          <w:rFonts w:hint="eastAsia" w:ascii="仿宋_GB2312" w:eastAsia="仿宋_GB2312"/>
          <w:sz w:val="32"/>
          <w:szCs w:val="32"/>
        </w:rPr>
        <w:t xml:space="preserve">%；项目支出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万元，占年度计划的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 xml:space="preserve">%。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sz w:val="32"/>
          <w:szCs w:val="32"/>
        </w:rPr>
        <w:t>四、</w:t>
      </w:r>
      <w:r>
        <w:rPr>
          <w:rFonts w:hint="eastAsia" w:ascii="黑体" w:hAnsi="黑体" w:eastAsia="黑体"/>
          <w:sz w:val="32"/>
          <w:szCs w:val="32"/>
          <w:highlight w:val="none"/>
        </w:rPr>
        <w:t>财政拨款收入支出预算总体情况说明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Courier New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我单位</w:t>
      </w:r>
      <w:r>
        <w:rPr>
          <w:rFonts w:ascii="仿宋_GB2312" w:hAnsi="宋体" w:eastAsia="仿宋_GB2312" w:cs="Courier New"/>
          <w:sz w:val="32"/>
          <w:szCs w:val="32"/>
          <w:highlight w:val="none"/>
        </w:rPr>
        <w:t>20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val="en-US" w:eastAsia="zh-CN"/>
        </w:rPr>
        <w:t>20</w:t>
      </w:r>
      <w:r>
        <w:rPr>
          <w:rFonts w:ascii="仿宋_GB2312" w:hAnsi="宋体" w:eastAsia="仿宋_GB2312" w:cs="Courier New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财政拨款收入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预算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37.15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支出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预算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val="en-US" w:eastAsia="zh-CN"/>
        </w:rPr>
        <w:t>37.15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万元。与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上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年相比，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财政拨款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收支预算增加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val="en-US" w:eastAsia="zh-CN"/>
        </w:rPr>
        <w:t>9.32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万元，增长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val="en-US" w:eastAsia="zh-CN"/>
        </w:rPr>
        <w:t>25</w:t>
      </w:r>
      <w:r>
        <w:rPr>
          <w:rFonts w:ascii="仿宋_GB2312" w:hAnsi="宋体" w:eastAsia="仿宋_GB2312" w:cs="Courier New"/>
          <w:sz w:val="32"/>
          <w:szCs w:val="32"/>
          <w:highlight w:val="none"/>
        </w:rPr>
        <w:t>%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，主要原因：</w:t>
      </w:r>
      <w:r>
        <w:rPr>
          <w:rFonts w:hint="eastAsia" w:ascii="仿宋_GB2312" w:eastAsia="仿宋_GB2312"/>
          <w:sz w:val="32"/>
          <w:szCs w:val="32"/>
          <w:lang w:eastAsia="zh-CN"/>
        </w:rPr>
        <w:t>人员基本工资增加和住房公积金单位部分增加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。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Times New Roman"/>
          <w:sz w:val="32"/>
          <w:szCs w:val="32"/>
        </w:rPr>
        <w:t>一般公共预算支出预算情况说明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年一般公共预算支出年初预算为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37.15</w:t>
      </w:r>
      <w:r>
        <w:rPr>
          <w:rFonts w:ascii="Times New Roman" w:hAnsi="Times New Roman" w:eastAsia="仿宋_GB2312" w:cs="Times New Roman"/>
          <w:sz w:val="32"/>
          <w:szCs w:val="32"/>
        </w:rPr>
        <w:t>万元。主要用于以下方面：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文化体育与传媒支出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31.61万元，占85%；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社会保障和就业（类）支出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2.73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%，医疗卫生与计划生育（类）支出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1.06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%，住房保障（类）支出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1.75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560" w:lineRule="exact"/>
        <w:ind w:firstLine="640" w:firstLineChars="200"/>
        <w:rPr>
          <w:rFonts w:hint="eastAsia" w:ascii="黑体" w:hAnsi="Times New Roman" w:eastAsia="黑体" w:cs="黑体"/>
          <w:kern w:val="0"/>
          <w:sz w:val="32"/>
          <w:szCs w:val="32"/>
          <w:highlight w:val="none"/>
        </w:rPr>
      </w:pPr>
      <w:r>
        <w:rPr>
          <w:rFonts w:hint="eastAsia" w:ascii="黑体" w:hAnsi="Times New Roman" w:eastAsia="黑体" w:cs="黑体"/>
          <w:kern w:val="0"/>
          <w:sz w:val="32"/>
          <w:szCs w:val="32"/>
          <w:highlight w:val="none"/>
        </w:rPr>
        <w:t>六、支出预算经济分类情况说明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按照《财政部关于印发&lt;支出经济分类科目改革方案&gt;的通知》（财预〔2017〕98号）要求，从201</w:t>
      </w:r>
      <w:r>
        <w:rPr>
          <w:rFonts w:ascii="仿宋_GB2312" w:eastAsia="仿宋_GB2312"/>
          <w:sz w:val="32"/>
          <w:szCs w:val="32"/>
          <w:highlight w:val="none"/>
        </w:rPr>
        <w:t>8</w:t>
      </w:r>
      <w:r>
        <w:rPr>
          <w:rFonts w:hint="eastAsia" w:ascii="仿宋_GB2312" w:eastAsia="仿宋_GB2312"/>
          <w:sz w:val="32"/>
          <w:szCs w:val="32"/>
          <w:highlight w:val="none"/>
        </w:rPr>
        <w:t>年起全面实施支出经济分类科目改革，根据政府预算管理和部门预算管理的不同特点，分设部门预算支出经济分类科目和政府预算支出经济分类科目，两套科目之间保持对应关系。我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  <w:highlight w:val="none"/>
        </w:rPr>
        <w:t>《支出经济分类汇总表》, 按两套经济分类科目分别反映不同资金来源的全部预算支出。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七、政府性基金预算支出情况说明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我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  <w:lang w:eastAsia="zh-CN"/>
        </w:rPr>
        <w:t>没有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使用政府性基金预算拨款安排的支出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八</w:t>
      </w:r>
      <w:r>
        <w:rPr>
          <w:rFonts w:hint="eastAsia" w:ascii="黑体" w:eastAsia="黑体"/>
          <w:sz w:val="32"/>
          <w:szCs w:val="32"/>
        </w:rPr>
        <w:t>、“三公”经费支出预算情况说明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Courier New"/>
          <w:sz w:val="32"/>
          <w:szCs w:val="32"/>
        </w:rPr>
        <w:t>年“三公”经费预算为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Courier New"/>
          <w:sz w:val="32"/>
          <w:szCs w:val="32"/>
        </w:rPr>
        <w:t>万元。20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19</w:t>
      </w:r>
      <w:r>
        <w:rPr>
          <w:rFonts w:hint="eastAsia" w:ascii="仿宋_GB2312" w:hAnsi="宋体" w:eastAsia="仿宋_GB2312" w:cs="Courier New"/>
          <w:sz w:val="32"/>
          <w:szCs w:val="32"/>
        </w:rPr>
        <w:t>年“三公”经费支出预算数比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上</w:t>
      </w:r>
      <w:r>
        <w:rPr>
          <w:rFonts w:hint="eastAsia" w:ascii="仿宋_GB2312" w:hAnsi="宋体" w:eastAsia="仿宋_GB2312" w:cs="Courier New"/>
          <w:sz w:val="32"/>
          <w:szCs w:val="32"/>
        </w:rPr>
        <w:t>年增加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0.6</w:t>
      </w:r>
      <w:r>
        <w:rPr>
          <w:rFonts w:hint="eastAsia" w:ascii="仿宋_GB2312" w:hAnsi="宋体" w:eastAsia="仿宋_GB2312" w:cs="Courier New"/>
          <w:sz w:val="32"/>
          <w:szCs w:val="32"/>
        </w:rPr>
        <w:t>万元。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具体支出情况如下：</w:t>
      </w:r>
    </w:p>
    <w:p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39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</w:rPr>
        <w:t>因公出国（境）费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spacing w:val="-1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Courier New"/>
          <w:sz w:val="32"/>
          <w:szCs w:val="32"/>
        </w:rPr>
        <w:t>主要用于单位工作人员公务出国（境）的住宿费、旅费、伙食补助费、杂费、培训费等支出。预算数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与上</w:t>
      </w:r>
      <w:r>
        <w:rPr>
          <w:rFonts w:hint="eastAsia" w:ascii="仿宋_GB2312" w:hAnsi="宋体" w:eastAsia="仿宋_GB2312" w:cs="Courier New"/>
          <w:sz w:val="32"/>
          <w:szCs w:val="32"/>
        </w:rPr>
        <w:t>年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</w:p>
    <w:p>
      <w:pPr>
        <w:numPr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39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</w:rPr>
        <w:t>（二）公务用车购置及运行费</w:t>
      </w: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万</w:t>
      </w:r>
      <w:r>
        <w:rPr>
          <w:rFonts w:hint="eastAsia" w:ascii="仿宋_GB2312" w:hAnsi="宋体" w:eastAsia="仿宋_GB2312" w:cs="Courier New"/>
          <w:sz w:val="32"/>
          <w:szCs w:val="32"/>
        </w:rPr>
        <w:t>元，其中，公务用车购置费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万元；公务用车运行维护费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万元，主要用于开展工作所需公务用车的燃料费、维修费、过路过桥费、保险费、安全奖励费用等支出。公务用车购置费预算数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与上</w:t>
      </w:r>
      <w:r>
        <w:rPr>
          <w:rFonts w:hint="eastAsia" w:ascii="仿宋_GB2312" w:hAnsi="宋体" w:eastAsia="仿宋_GB2312" w:cs="Courier New"/>
          <w:sz w:val="32"/>
          <w:szCs w:val="32"/>
        </w:rPr>
        <w:t>年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Courier New"/>
          <w:sz w:val="32"/>
          <w:szCs w:val="32"/>
        </w:rPr>
        <w:t>。公务用车运行维护费预算数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与上</w:t>
      </w:r>
      <w:r>
        <w:rPr>
          <w:rFonts w:hint="eastAsia" w:ascii="仿宋_GB2312" w:hAnsi="宋体" w:eastAsia="仿宋_GB2312" w:cs="Courier New"/>
          <w:sz w:val="32"/>
          <w:szCs w:val="32"/>
        </w:rPr>
        <w:t>年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39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</w:rPr>
        <w:t>（三）公务接待费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Courier New"/>
          <w:sz w:val="32"/>
          <w:szCs w:val="32"/>
        </w:rPr>
        <w:t>万元，主要用于按规定开支的各类公务接待（含外宾接待）支出。预算数比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上</w:t>
      </w:r>
      <w:r>
        <w:rPr>
          <w:rFonts w:hint="eastAsia" w:ascii="仿宋_GB2312" w:hAnsi="宋体" w:eastAsia="仿宋_GB2312" w:cs="Courier New"/>
          <w:sz w:val="32"/>
          <w:szCs w:val="32"/>
        </w:rPr>
        <w:t>年增加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0.6</w:t>
      </w:r>
      <w:r>
        <w:rPr>
          <w:rFonts w:hint="eastAsia" w:ascii="仿宋_GB2312" w:hAnsi="宋体" w:eastAsia="仿宋_GB2312" w:cs="Courier New"/>
          <w:sz w:val="32"/>
          <w:szCs w:val="32"/>
        </w:rPr>
        <w:t>万元。主要原因：</w:t>
      </w:r>
      <w:r>
        <w:rPr>
          <w:rFonts w:hint="eastAsia" w:ascii="仿宋_GB2312" w:eastAsia="仿宋_GB2312"/>
          <w:sz w:val="32"/>
          <w:szCs w:val="32"/>
          <w:lang w:eastAsia="zh-CN"/>
        </w:rPr>
        <w:t>开展各种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文学联谊活动增加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</w:p>
    <w:p>
      <w:pPr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九</w:t>
      </w:r>
      <w:r>
        <w:rPr>
          <w:rFonts w:hint="eastAsia" w:ascii="黑体" w:eastAsia="黑体"/>
          <w:sz w:val="32"/>
          <w:szCs w:val="32"/>
        </w:rPr>
        <w:t>、其他重要事项的情况说明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（一）机关运行经费支出情况说明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2019年机关运行经费支出预算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4.16</w:t>
      </w:r>
      <w:r>
        <w:rPr>
          <w:rFonts w:hint="eastAsia" w:ascii="仿宋_GB2312" w:eastAsia="仿宋_GB2312"/>
          <w:sz w:val="32"/>
          <w:szCs w:val="32"/>
        </w:rPr>
        <w:t>万元，主要</w:t>
      </w:r>
      <w:r>
        <w:rPr>
          <w:rFonts w:hint="eastAsia" w:ascii="仿宋_GB2312" w:eastAsia="仿宋_GB2312"/>
          <w:sz w:val="32"/>
          <w:szCs w:val="32"/>
          <w:lang w:eastAsia="zh-CN"/>
        </w:rPr>
        <w:t>用于</w:t>
      </w:r>
      <w:r>
        <w:rPr>
          <w:rFonts w:hint="eastAsia" w:ascii="仿宋_GB2312" w:eastAsia="仿宋_GB2312"/>
          <w:sz w:val="32"/>
          <w:szCs w:val="32"/>
        </w:rPr>
        <w:t>保障机构正常运转及正常履职需要。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（二）政府采购支出情况</w:t>
      </w:r>
    </w:p>
    <w:p>
      <w:pPr>
        <w:ind w:firstLine="70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2019年无政府采购预算安排。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Times New Roman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（三）绩效</w:t>
      </w:r>
      <w:r>
        <w:rPr>
          <w:rFonts w:ascii="仿宋_GB2312" w:hAnsi="Times New Roman" w:eastAsia="仿宋_GB2312" w:cs="仿宋_GB2312"/>
          <w:b/>
          <w:kern w:val="0"/>
          <w:sz w:val="32"/>
          <w:szCs w:val="32"/>
        </w:rPr>
        <w:t>目标设置情况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800" w:firstLineChars="25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19</w:t>
      </w:r>
      <w:r>
        <w:rPr>
          <w:rFonts w:hint="eastAsia" w:ascii="仿宋_GB2312" w:hAnsi="宋体" w:eastAsia="仿宋_GB2312" w:cs="Courier New"/>
          <w:sz w:val="32"/>
          <w:szCs w:val="32"/>
        </w:rPr>
        <w:t>年我单位没有安排预算绩效目标。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b/>
          <w:sz w:val="32"/>
          <w:szCs w:val="32"/>
        </w:rPr>
        <w:t>）国有资产占用情况</w:t>
      </w:r>
    </w:p>
    <w:p>
      <w:pPr>
        <w:ind w:firstLine="70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年期末，我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共有车辆</w:t>
      </w:r>
      <w:r>
        <w:rPr>
          <w:rFonts w:hint="eastAsia" w:ascii="仿宋_GB2312" w:eastAsia="仿宋_GB2312"/>
          <w:color w:val="FF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辆，其中：一般公务用车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 xml:space="preserve"> 辆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现正在办理有关核销手续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单价50万元以上通用设备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台，单位价值100万元以上专用设备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台。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（五）</w:t>
      </w:r>
      <w:r>
        <w:rPr>
          <w:rFonts w:hint="eastAsia" w:ascii="仿宋_GB2312" w:hAnsi="宋体" w:eastAsia="仿宋_GB2312" w:cs="Courier New"/>
          <w:b/>
          <w:sz w:val="32"/>
          <w:szCs w:val="32"/>
        </w:rPr>
        <w:t>专项转移支付项目情况</w:t>
      </w:r>
    </w:p>
    <w:p>
      <w:pPr>
        <w:ind w:firstLine="700" w:firstLineChars="21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我单位没有负责的专项转移支付项目。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</w:p>
    <w:p>
      <w:pPr>
        <w:ind w:firstLine="709"/>
        <w:jc w:val="center"/>
        <w:rPr>
          <w:rFonts w:hint="eastAsia"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第三部分 名词解释</w:t>
      </w:r>
    </w:p>
    <w:p>
      <w:pPr>
        <w:spacing w:before="312" w:beforeLines="100"/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一、财政拨款收入：是指市级财政当年拨付的资金。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二、事业收入：是指事业单位开展专业活动及辅助活动所取 得的收入。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三、其他收入：是指部门取得的除“财政拨款”、“事业收入”、“事业单位经营收入”等以外的收入。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“三公”经费：是指纳入本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附表：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一、部门收支总体情况表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二、部门收入总体情况表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三、部门支出总体情况表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四、财政拨款收支总体情况表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五、一般公共预算支出情况表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六、一般公共预算基本支出情况表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七、一般公共预算“三公”经费支出情况表</w:t>
      </w:r>
    </w:p>
    <w:p>
      <w:pPr>
        <w:ind w:firstLine="426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八、政府性基金预算支出情况表</w:t>
      </w:r>
    </w:p>
    <w:p>
      <w:pPr>
        <w:rPr>
          <w:rFonts w:hint="eastAsia" w:ascii="仿宋_GB2312" w:eastAsia="仿宋_GB2312" w:hAnsiTheme="majorEastAsia"/>
          <w:sz w:val="32"/>
          <w:szCs w:val="32"/>
        </w:rPr>
      </w:pPr>
    </w:p>
    <w:p>
      <w:pPr>
        <w:ind w:firstLine="426"/>
        <w:rPr>
          <w:rFonts w:hint="eastAsia" w:ascii="仿宋_GB2312" w:eastAsia="仿宋_GB2312" w:hAnsiTheme="majorEastAsia"/>
          <w:sz w:val="32"/>
          <w:szCs w:val="32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</w:p>
    <w:tbl>
      <w:tblPr>
        <w:tblStyle w:val="5"/>
        <w:tblpPr w:leftFromText="180" w:rightFromText="180" w:vertAnchor="text" w:horzAnchor="page" w:tblpX="1034" w:tblpY="144"/>
        <w:tblOverlap w:val="never"/>
        <w:tblW w:w="145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0"/>
        <w:gridCol w:w="705"/>
        <w:gridCol w:w="1815"/>
        <w:gridCol w:w="900"/>
        <w:gridCol w:w="675"/>
        <w:gridCol w:w="690"/>
        <w:gridCol w:w="1035"/>
        <w:gridCol w:w="555"/>
        <w:gridCol w:w="645"/>
        <w:gridCol w:w="945"/>
        <w:gridCol w:w="807"/>
        <w:gridCol w:w="753"/>
        <w:gridCol w:w="583"/>
        <w:gridCol w:w="791"/>
        <w:gridCol w:w="1"/>
        <w:gridCol w:w="751"/>
        <w:gridCol w:w="119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预算01表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5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2019年部门收支预算总表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4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部门名称：邓州市文学艺术界联合会机关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        入</w:t>
            </w:r>
          </w:p>
        </w:tc>
        <w:tc>
          <w:tcPr>
            <w:tcW w:w="1214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                            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</w:t>
            </w:r>
          </w:p>
        </w:tc>
        <w:tc>
          <w:tcPr>
            <w:tcW w:w="18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1033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2019年预算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5352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一般公共预算支出</w:t>
            </w:r>
          </w:p>
        </w:tc>
        <w:tc>
          <w:tcPr>
            <w:tcW w:w="75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基金安排</w:t>
            </w:r>
          </w:p>
        </w:tc>
        <w:tc>
          <w:tcPr>
            <w:tcW w:w="58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专户安排</w:t>
            </w:r>
          </w:p>
        </w:tc>
        <w:tc>
          <w:tcPr>
            <w:tcW w:w="792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债券转贷支出</w:t>
            </w:r>
          </w:p>
        </w:tc>
        <w:tc>
          <w:tcPr>
            <w:tcW w:w="7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上年结转安排</w:t>
            </w:r>
          </w:p>
        </w:tc>
        <w:tc>
          <w:tcPr>
            <w:tcW w:w="11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提前下达转移支付安排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收费安排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专项收入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罚没收入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收益安排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政府住房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基金</w:t>
            </w:r>
          </w:p>
        </w:tc>
        <w:tc>
          <w:tcPr>
            <w:tcW w:w="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一、财政拨款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37.15 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一、基本支出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29.15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29.15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29.15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二、收费安排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1、行政人员经费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25.52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25.52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25.52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三、专项收入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2、事业人员经费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四、罚没收入</w:t>
            </w: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3、公用支出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3.63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3.63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3.63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五、国有资本收益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二、项目支出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六、政府住房基金收入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1、一般性项目支出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七、政府性基金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2、专项支出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八、专户收入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2.1、政策性配套支出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九、结余结转收入</w:t>
            </w: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2.2、事业发展专项支出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十、债券转贷支出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2.3、其他资本性支出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十一、提前下达转移支付支出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2.4、偿债支出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2.5、其他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37.15 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37.15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37.15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37.15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ind w:firstLine="426"/>
        <w:rPr>
          <w:rFonts w:hint="eastAsia" w:ascii="仿宋_GB2312" w:eastAsia="仿宋_GB2312" w:hAnsiTheme="majorEastAsia"/>
          <w:sz w:val="32"/>
          <w:szCs w:val="32"/>
        </w:rPr>
      </w:pPr>
    </w:p>
    <w:p>
      <w:pPr>
        <w:rPr>
          <w:rFonts w:hint="eastAsia" w:ascii="仿宋_GB2312" w:eastAsia="仿宋_GB2312" w:hAnsiTheme="majorEastAsia"/>
          <w:sz w:val="32"/>
          <w:szCs w:val="32"/>
        </w:rPr>
        <w:sectPr>
          <w:pgSz w:w="16838" w:h="11906" w:orient="landscape"/>
          <w:pgMar w:top="952" w:right="1440" w:bottom="612" w:left="1440" w:header="851" w:footer="992" w:gutter="0"/>
          <w:cols w:space="0" w:num="1"/>
          <w:rtlGutter w:val="0"/>
          <w:docGrid w:type="lines" w:linePitch="319" w:charSpace="0"/>
        </w:sectPr>
      </w:pPr>
    </w:p>
    <w:tbl>
      <w:tblPr>
        <w:tblStyle w:val="5"/>
        <w:tblpPr w:leftFromText="180" w:rightFromText="180" w:vertAnchor="text" w:horzAnchor="page" w:tblpX="553" w:tblpY="83"/>
        <w:tblOverlap w:val="never"/>
        <w:tblW w:w="158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721"/>
        <w:gridCol w:w="577"/>
        <w:gridCol w:w="2204"/>
        <w:gridCol w:w="1083"/>
        <w:gridCol w:w="433"/>
        <w:gridCol w:w="768"/>
        <w:gridCol w:w="707"/>
        <w:gridCol w:w="1"/>
        <w:gridCol w:w="784"/>
        <w:gridCol w:w="850"/>
        <w:gridCol w:w="648"/>
        <w:gridCol w:w="3"/>
        <w:gridCol w:w="399"/>
        <w:gridCol w:w="1"/>
        <w:gridCol w:w="398"/>
        <w:gridCol w:w="3"/>
        <w:gridCol w:w="922"/>
        <w:gridCol w:w="1"/>
        <w:gridCol w:w="576"/>
        <w:gridCol w:w="870"/>
        <w:gridCol w:w="557"/>
        <w:gridCol w:w="588"/>
        <w:gridCol w:w="600"/>
        <w:gridCol w:w="570"/>
        <w:gridCol w:w="9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预算02表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582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2019年部门收入总体情况表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4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部门名称：邓州市文学艺术界联合会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FFFF"/>
                <w:sz w:val="18"/>
                <w:szCs w:val="18"/>
                <w:u w:val="non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FFFFFF"/>
                <w:sz w:val="18"/>
                <w:szCs w:val="18"/>
                <w:u w:val="none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FFFFFF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FFFFFF"/>
                <w:sz w:val="18"/>
                <w:szCs w:val="18"/>
                <w:u w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FFFFFF"/>
                <w:sz w:val="18"/>
                <w:szCs w:val="18"/>
                <w:u w:val="none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FFFFFF"/>
                <w:sz w:val="18"/>
                <w:szCs w:val="18"/>
                <w:u w:val="none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FFFFFF"/>
                <w:sz w:val="18"/>
                <w:szCs w:val="18"/>
                <w:u w:val="none"/>
              </w:rPr>
            </w:pP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FFFF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FFFF"/>
                <w:sz w:val="18"/>
                <w:szCs w:val="18"/>
                <w:u w:val="none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94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单位（科目名称）</w:t>
            </w:r>
          </w:p>
        </w:tc>
        <w:tc>
          <w:tcPr>
            <w:tcW w:w="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10156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    出    明    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194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3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  年  收 入  汇  总</w:t>
            </w:r>
          </w:p>
        </w:tc>
        <w:tc>
          <w:tcPr>
            <w:tcW w:w="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债券转贷支出</w:t>
            </w:r>
          </w:p>
        </w:tc>
        <w:tc>
          <w:tcPr>
            <w:tcW w:w="175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上年结转安排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提前下达转移支付安排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94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计</w:t>
            </w:r>
          </w:p>
        </w:tc>
        <w:tc>
          <w:tcPr>
            <w:tcW w:w="471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其中：一般公共预算支出</w:t>
            </w:r>
          </w:p>
        </w:tc>
        <w:tc>
          <w:tcPr>
            <w:tcW w:w="5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基金安排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专户安排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 计</w:t>
            </w:r>
          </w:p>
        </w:tc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收费安排</w:t>
            </w:r>
          </w:p>
        </w:tc>
        <w:tc>
          <w:tcPr>
            <w:tcW w:w="6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专项安排</w:t>
            </w:r>
          </w:p>
        </w:tc>
        <w:tc>
          <w:tcPr>
            <w:tcW w:w="4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罚没安排</w:t>
            </w:r>
          </w:p>
        </w:tc>
        <w:tc>
          <w:tcPr>
            <w:tcW w:w="4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收益安排</w:t>
            </w:r>
          </w:p>
        </w:tc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政府住房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基金安排</w:t>
            </w:r>
          </w:p>
        </w:tc>
        <w:tc>
          <w:tcPr>
            <w:tcW w:w="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一般预算结转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0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37.15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37.15 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37.15 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37.15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[201001]邓州市文学艺术界联合会机关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文化创作与保护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31.61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31.61 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31.61 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31.61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[201001]邓州市文学艺术界联合会机关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2.73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2.73 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2.73 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2.73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[201001]邓州市文学艺术界联合会机关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[201001]邓州市文学艺术界联合会机关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0.16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0.16 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0.16 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0.16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[201001]邓州市文学艺术界联合会机关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1.75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1.75 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1.75 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1.75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 w:ascii="仿宋_GB2312" w:eastAsia="仿宋_GB2312" w:hAnsiTheme="majorEastAsia"/>
          <w:sz w:val="32"/>
          <w:szCs w:val="32"/>
        </w:rPr>
      </w:pPr>
    </w:p>
    <w:tbl>
      <w:tblPr>
        <w:tblStyle w:val="5"/>
        <w:tblW w:w="14660" w:type="dxa"/>
        <w:tblInd w:w="-34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7"/>
        <w:gridCol w:w="870"/>
        <w:gridCol w:w="540"/>
        <w:gridCol w:w="1305"/>
        <w:gridCol w:w="999"/>
        <w:gridCol w:w="1291"/>
        <w:gridCol w:w="1355"/>
        <w:gridCol w:w="1202"/>
        <w:gridCol w:w="1190"/>
        <w:gridCol w:w="1101"/>
        <w:gridCol w:w="1228"/>
        <w:gridCol w:w="1101"/>
        <w:gridCol w:w="110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预算03表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6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2019年部门支出总体情况表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邓州市文学艺术界联合会机关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单位（科目名称）</w:t>
            </w: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13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20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行政人员经费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事业人员经费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一般性项目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13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99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12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37.15 </w:t>
            </w:r>
          </w:p>
        </w:tc>
        <w:tc>
          <w:tcPr>
            <w:tcW w:w="13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29.15 </w:t>
            </w:r>
          </w:p>
        </w:tc>
        <w:tc>
          <w:tcPr>
            <w:tcW w:w="120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25.52 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3.63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[201001]邓州市文学艺术界联合会机关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文化创作与保护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31.61 </w:t>
            </w:r>
          </w:p>
        </w:tc>
        <w:tc>
          <w:tcPr>
            <w:tcW w:w="13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23.61 </w:t>
            </w:r>
          </w:p>
        </w:tc>
        <w:tc>
          <w:tcPr>
            <w:tcW w:w="120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19.98 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3.63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[201001]邓州市文学艺术界联合会机关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2.73 </w:t>
            </w:r>
          </w:p>
        </w:tc>
        <w:tc>
          <w:tcPr>
            <w:tcW w:w="13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2.73 </w:t>
            </w:r>
          </w:p>
        </w:tc>
        <w:tc>
          <w:tcPr>
            <w:tcW w:w="120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2.73 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[201001]邓州市文学艺术界联合会机关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13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120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[201001]邓州市文学艺术界联合会机关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0.16 </w:t>
            </w:r>
          </w:p>
        </w:tc>
        <w:tc>
          <w:tcPr>
            <w:tcW w:w="13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0.16 </w:t>
            </w:r>
          </w:p>
        </w:tc>
        <w:tc>
          <w:tcPr>
            <w:tcW w:w="120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0.16 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[201001]邓州市文学艺术界联合会机关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1.75 </w:t>
            </w:r>
          </w:p>
        </w:tc>
        <w:tc>
          <w:tcPr>
            <w:tcW w:w="13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1.75 </w:t>
            </w:r>
          </w:p>
        </w:tc>
        <w:tc>
          <w:tcPr>
            <w:tcW w:w="120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1.75 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 w:ascii="仿宋_GB2312" w:eastAsia="仿宋_GB2312" w:hAnsiTheme="majorEastAsia"/>
          <w:sz w:val="32"/>
          <w:szCs w:val="32"/>
        </w:rPr>
        <w:sectPr>
          <w:pgSz w:w="16838" w:h="11906" w:orient="landscape"/>
          <w:pgMar w:top="896" w:right="1440" w:bottom="499" w:left="1440" w:header="851" w:footer="992" w:gutter="0"/>
          <w:cols w:space="0" w:num="1"/>
          <w:rtlGutter w:val="0"/>
          <w:docGrid w:type="lines" w:linePitch="319" w:charSpace="0"/>
        </w:sectPr>
      </w:pPr>
    </w:p>
    <w:tbl>
      <w:tblPr>
        <w:tblStyle w:val="5"/>
        <w:tblpPr w:leftFromText="180" w:rightFromText="180" w:vertAnchor="text" w:horzAnchor="page" w:tblpX="758" w:tblpY="174"/>
        <w:tblOverlap w:val="never"/>
        <w:tblW w:w="105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1013"/>
        <w:gridCol w:w="2756"/>
        <w:gridCol w:w="1267"/>
        <w:gridCol w:w="1473"/>
        <w:gridCol w:w="159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预算04表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2019年财政拨款收支总体情况表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3448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部门名称:邓州市文学艺术界联合会机关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34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        入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    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　额</w:t>
            </w:r>
          </w:p>
        </w:tc>
        <w:tc>
          <w:tcPr>
            <w:tcW w:w="2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         目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本年支出小计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其中：一般公共预算支出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 计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财政拨款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一、财政拨款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37.15 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一、一般公共服务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二、收费安排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二、外交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三、专项收入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三、国防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四、其他收入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四、公共安全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五、国有资本收益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五、教育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六、政府住房基金收入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六、科学技术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七、政府资金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七、文化体育与传媒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31.61 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31.61 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八、专户收入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八、社会保障和就业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2.73 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2.73 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九、结余结转收入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九、社会保险基金支出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十、本级财力补助下级支出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十、卫生健康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1.06 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1.06 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十一、提前下达转移支付支出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十一、节能环保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十二、城乡社区事务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十三、农林水事务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十四、交通运输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十五、资源勘探电力信息等事务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十六、商业服务业等事务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十七、金融支出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十九、援助其他地区支出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二十、自然资源海洋气象等支出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二十一、住房保障支出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1.75 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1.75 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二十二、粮油物资储备支出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二十三、国有资本经营预算支出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二十四、灾害防治及应急管理支出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二十七、预备费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二十九、其他支出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三十、转移性支出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三十一、债务还本支出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三十二、债务付息支出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三十三、债务发行费用支出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37.15 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支出合计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37.15 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37.15 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37.15 </w:t>
            </w:r>
          </w:p>
        </w:tc>
      </w:tr>
    </w:tbl>
    <w:p>
      <w:pPr>
        <w:rPr>
          <w:rFonts w:hint="eastAsia" w:ascii="仿宋_GB2312" w:eastAsia="仿宋_GB2312" w:hAnsiTheme="majorEastAsia"/>
          <w:sz w:val="32"/>
          <w:szCs w:val="32"/>
        </w:rPr>
        <w:sectPr>
          <w:pgSz w:w="11906" w:h="16838"/>
          <w:pgMar w:top="600" w:right="499" w:bottom="421" w:left="896" w:header="851" w:footer="992" w:gutter="0"/>
          <w:cols w:space="0" w:num="1"/>
          <w:rtlGutter w:val="0"/>
          <w:docGrid w:type="lines" w:linePitch="319" w:charSpace="0"/>
        </w:sectPr>
      </w:pPr>
    </w:p>
    <w:tbl>
      <w:tblPr>
        <w:tblStyle w:val="5"/>
        <w:tblpPr w:leftFromText="180" w:rightFromText="180" w:vertAnchor="text" w:horzAnchor="page" w:tblpX="989" w:tblpY="91"/>
        <w:tblOverlap w:val="never"/>
        <w:tblW w:w="146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787"/>
        <w:gridCol w:w="728"/>
        <w:gridCol w:w="1800"/>
        <w:gridCol w:w="1332"/>
        <w:gridCol w:w="905"/>
        <w:gridCol w:w="1202"/>
        <w:gridCol w:w="1278"/>
        <w:gridCol w:w="1157"/>
        <w:gridCol w:w="1321"/>
        <w:gridCol w:w="876"/>
        <w:gridCol w:w="1244"/>
        <w:gridCol w:w="124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预算05表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6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2019年一般公共预算支出情况表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邓州市文学艺术界联合会机关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单位（科目名称）</w:t>
            </w:r>
          </w:p>
        </w:tc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120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行政人员经费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事业人员经费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一般性项目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18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133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9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37.15 </w:t>
            </w:r>
          </w:p>
        </w:tc>
        <w:tc>
          <w:tcPr>
            <w:tcW w:w="12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29.15 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25.52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3.63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[201001]邓州市文学艺术界联合会机关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文化创作与保护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31.61 </w:t>
            </w:r>
          </w:p>
        </w:tc>
        <w:tc>
          <w:tcPr>
            <w:tcW w:w="12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23.61 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19.98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3.63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[201001]邓州市文学艺术界联合会机关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2.73 </w:t>
            </w:r>
          </w:p>
        </w:tc>
        <w:tc>
          <w:tcPr>
            <w:tcW w:w="12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2.73 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2.73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[201001]邓州市文学艺术界联合会机关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12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[201001]邓州市文学艺术界联合会机关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0.16 </w:t>
            </w:r>
          </w:p>
        </w:tc>
        <w:tc>
          <w:tcPr>
            <w:tcW w:w="12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0.16 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0.16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[201001]邓州市文学艺术界联合会机关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1.75 </w:t>
            </w:r>
          </w:p>
        </w:tc>
        <w:tc>
          <w:tcPr>
            <w:tcW w:w="12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1.75 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1.75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 w:ascii="仿宋_GB2312" w:eastAsia="仿宋_GB2312" w:hAnsiTheme="majorEastAsia"/>
          <w:sz w:val="32"/>
          <w:szCs w:val="32"/>
        </w:rPr>
        <w:sectPr>
          <w:pgSz w:w="16838" w:h="11906" w:orient="landscape"/>
          <w:pgMar w:top="896" w:right="1383" w:bottom="499" w:left="1383" w:header="851" w:footer="992" w:gutter="0"/>
          <w:cols w:space="0" w:num="1"/>
          <w:rtlGutter w:val="0"/>
          <w:docGrid w:type="lines" w:linePitch="328" w:charSpace="0"/>
        </w:sectPr>
      </w:pPr>
    </w:p>
    <w:tbl>
      <w:tblPr>
        <w:tblStyle w:val="5"/>
        <w:tblpPr w:leftFromText="180" w:rightFromText="180" w:vertAnchor="text" w:horzAnchor="page" w:tblpX="1259" w:tblpY="177"/>
        <w:tblOverlap w:val="never"/>
        <w:tblW w:w="139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7"/>
        <w:gridCol w:w="1064"/>
        <w:gridCol w:w="3804"/>
        <w:gridCol w:w="3140"/>
        <w:gridCol w:w="348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3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预算06表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3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2019年一般公共预算基本支出情况表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邓州市文学艺术界联合会机关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shd w:val="clear" w:color="FFFFFF" w:fill="D9D9D9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shd w:val="clear" w:color="FFFFFF" w:fill="D9D9D9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shd w:val="clear" w:color="FFFFFF" w:fill="D9D9D9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3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6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40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10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3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其中：财政拨款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4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29.15 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11.11 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5.59 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5.59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奖金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 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2.73 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职工基本医疗保险缴费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0.87 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0.19 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1.75 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办公费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0.35 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0.17 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福利费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0.36 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其他交通费用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 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生活补助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0.61 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0.61 </w:t>
            </w:r>
          </w:p>
        </w:tc>
      </w:tr>
    </w:tbl>
    <w:p>
      <w:pPr>
        <w:ind w:firstLine="426"/>
        <w:rPr>
          <w:rFonts w:hint="eastAsia" w:ascii="仿宋_GB2312" w:eastAsia="仿宋_GB2312" w:hAnsiTheme="majorEastAsia"/>
          <w:sz w:val="32"/>
          <w:szCs w:val="32"/>
        </w:rPr>
        <w:sectPr>
          <w:pgSz w:w="16838" w:h="11906" w:orient="landscape"/>
          <w:pgMar w:top="896" w:right="1383" w:bottom="499" w:left="1383" w:header="851" w:footer="992" w:gutter="0"/>
          <w:cols w:space="0" w:num="1"/>
          <w:rtlGutter w:val="0"/>
          <w:docGrid w:type="lines" w:linePitch="328" w:charSpace="0"/>
        </w:sectPr>
      </w:pPr>
    </w:p>
    <w:tbl>
      <w:tblPr>
        <w:tblStyle w:val="5"/>
        <w:tblpPr w:leftFromText="180" w:rightFromText="180" w:vertAnchor="text" w:horzAnchor="page" w:tblpX="1388" w:tblpY="-68"/>
        <w:tblOverlap w:val="never"/>
        <w:tblW w:w="95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0"/>
        <w:gridCol w:w="52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预算07表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2019年一般公共预算“三公”经费支出情况表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邓州市文学艺术界联合会机关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   目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2019年“三公”经费预算数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共计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1、因公出国（境）费用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2、公务接待费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3、公务用车费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其中：（1）公务用车运行维护费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（2）公务用车购置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2" w:hRule="atLeast"/>
        </w:trPr>
        <w:tc>
          <w:tcPr>
            <w:tcW w:w="9540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按照党中央、国务院有关规定及部门预算管理有关规定，“三公”经费包括因公出国（境）费、公务用车购置及运行费和公务接待费。（1）因公出国（境）费，指单位工作人员公务出国（境）的住宿费、旅费、伙食补助费、杂费、培训费等支出。（2）公务用车购置及运行费，指单位公务用车购置费及租用费、燃料费、维修费、过路过桥费、保险费、安全奖励费用等支出，公务用车指用于履行公务的机动车辆，包括领导干部专车、一般公务用车和执法执勤用车。（3）公务接待费，指单位按规定开支的各类公务接待（含外宾接待）支出。</w:t>
            </w:r>
          </w:p>
        </w:tc>
      </w:tr>
    </w:tbl>
    <w:p>
      <w:pPr>
        <w:ind w:firstLine="426"/>
        <w:rPr>
          <w:rFonts w:hint="eastAsia" w:ascii="仿宋_GB2312" w:eastAsia="仿宋_GB2312" w:hAnsiTheme="majorEastAsia"/>
          <w:sz w:val="32"/>
          <w:szCs w:val="32"/>
        </w:rPr>
      </w:pPr>
    </w:p>
    <w:p>
      <w:pPr>
        <w:ind w:firstLine="426"/>
        <w:rPr>
          <w:rFonts w:hint="eastAsia" w:ascii="仿宋_GB2312" w:eastAsia="仿宋_GB2312" w:hAnsiTheme="majorEastAsia"/>
          <w:sz w:val="32"/>
          <w:szCs w:val="32"/>
        </w:rPr>
      </w:pPr>
    </w:p>
    <w:p>
      <w:pPr>
        <w:rPr>
          <w:rFonts w:hint="eastAsia" w:ascii="仿宋_GB2312" w:eastAsia="仿宋_GB2312" w:hAnsiTheme="majorEastAsia"/>
          <w:sz w:val="32"/>
          <w:szCs w:val="32"/>
        </w:rPr>
        <w:sectPr>
          <w:pgSz w:w="11906" w:h="16838"/>
          <w:pgMar w:top="1383" w:right="499" w:bottom="1383" w:left="896" w:header="851" w:footer="992" w:gutter="0"/>
          <w:cols w:space="0" w:num="1"/>
          <w:rtlGutter w:val="0"/>
          <w:docGrid w:type="lines" w:linePitch="328" w:charSpace="0"/>
        </w:sectPr>
      </w:pPr>
    </w:p>
    <w:tbl>
      <w:tblPr>
        <w:tblStyle w:val="5"/>
        <w:tblW w:w="146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568"/>
        <w:gridCol w:w="568"/>
        <w:gridCol w:w="758"/>
        <w:gridCol w:w="1617"/>
        <w:gridCol w:w="1486"/>
        <w:gridCol w:w="1268"/>
        <w:gridCol w:w="1268"/>
        <w:gridCol w:w="1267"/>
        <w:gridCol w:w="1268"/>
        <w:gridCol w:w="1268"/>
        <w:gridCol w:w="1267"/>
        <w:gridCol w:w="126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预算08表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46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2019年政府性基金支出情况表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424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邓州市文学艺术界联合会机关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7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单位（科目名称）</w:t>
            </w:r>
          </w:p>
        </w:tc>
        <w:tc>
          <w:tcPr>
            <w:tcW w:w="1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126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26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26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行政人员经费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事业人员经费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一般性项目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 w:ascii="仿宋_GB2312" w:eastAsia="仿宋_GB2312" w:hAnsiTheme="majorEastAsia"/>
          <w:sz w:val="32"/>
          <w:szCs w:val="32"/>
        </w:rPr>
        <w:sectPr>
          <w:pgSz w:w="16838" w:h="11906" w:orient="landscape"/>
          <w:pgMar w:top="896" w:right="1383" w:bottom="499" w:left="1383" w:header="851" w:footer="992" w:gutter="0"/>
          <w:cols w:space="0" w:num="1"/>
          <w:rtlGutter w:val="0"/>
          <w:docGrid w:type="lines" w:linePitch="328" w:charSpace="0"/>
        </w:sectPr>
      </w:pPr>
    </w:p>
    <w:p>
      <w:pPr>
        <w:rPr>
          <w:rFonts w:hint="eastAsia" w:ascii="仿宋_GB2312" w:eastAsia="仿宋_GB2312" w:hAnsiTheme="majorEastAsia"/>
          <w:sz w:val="32"/>
          <w:szCs w:val="32"/>
        </w:rPr>
      </w:pPr>
    </w:p>
    <w:sectPr>
      <w:pgSz w:w="16838" w:h="11906" w:orient="landscape"/>
      <w:pgMar w:top="896" w:right="1383" w:bottom="499" w:left="1383" w:header="851" w:footer="992" w:gutter="0"/>
      <w:cols w:space="0" w:num="1"/>
      <w:rtlGutter w:val="0"/>
      <w:docGrid w:type="lines" w:linePitch="3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92A550"/>
    <w:multiLevelType w:val="singleLevel"/>
    <w:tmpl w:val="D792A550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06A4B0D4"/>
    <w:multiLevelType w:val="singleLevel"/>
    <w:tmpl w:val="06A4B0D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0A23AB1"/>
    <w:multiLevelType w:val="multilevel"/>
    <w:tmpl w:val="10A23AB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67"/>
    <w:rsid w:val="00000164"/>
    <w:rsid w:val="00031516"/>
    <w:rsid w:val="000A21F8"/>
    <w:rsid w:val="00163512"/>
    <w:rsid w:val="00197CC4"/>
    <w:rsid w:val="002F2F0E"/>
    <w:rsid w:val="00373D7B"/>
    <w:rsid w:val="003A0929"/>
    <w:rsid w:val="003A3239"/>
    <w:rsid w:val="00470C6C"/>
    <w:rsid w:val="004B5D7D"/>
    <w:rsid w:val="00514787"/>
    <w:rsid w:val="00545A43"/>
    <w:rsid w:val="00564FBA"/>
    <w:rsid w:val="00671A9B"/>
    <w:rsid w:val="006857C5"/>
    <w:rsid w:val="0068696D"/>
    <w:rsid w:val="006E0667"/>
    <w:rsid w:val="00715345"/>
    <w:rsid w:val="007A79BD"/>
    <w:rsid w:val="008747E3"/>
    <w:rsid w:val="00921CA8"/>
    <w:rsid w:val="00972071"/>
    <w:rsid w:val="00984F09"/>
    <w:rsid w:val="009D0D41"/>
    <w:rsid w:val="00AC7B36"/>
    <w:rsid w:val="00AD7AE6"/>
    <w:rsid w:val="00BC6702"/>
    <w:rsid w:val="00D72B10"/>
    <w:rsid w:val="00DC5002"/>
    <w:rsid w:val="00E13A03"/>
    <w:rsid w:val="00ED2B32"/>
    <w:rsid w:val="011A63B6"/>
    <w:rsid w:val="0223240E"/>
    <w:rsid w:val="067611BE"/>
    <w:rsid w:val="0C320460"/>
    <w:rsid w:val="0CB066B6"/>
    <w:rsid w:val="11CC7456"/>
    <w:rsid w:val="159845F5"/>
    <w:rsid w:val="176B79CA"/>
    <w:rsid w:val="17C8313E"/>
    <w:rsid w:val="17E139AE"/>
    <w:rsid w:val="18871E28"/>
    <w:rsid w:val="1AB6327B"/>
    <w:rsid w:val="1F3413D0"/>
    <w:rsid w:val="1FA64F2C"/>
    <w:rsid w:val="207163D5"/>
    <w:rsid w:val="21DE1D12"/>
    <w:rsid w:val="2206618F"/>
    <w:rsid w:val="22096738"/>
    <w:rsid w:val="23C7795C"/>
    <w:rsid w:val="25707F9A"/>
    <w:rsid w:val="277B61A3"/>
    <w:rsid w:val="29487125"/>
    <w:rsid w:val="2A2B585C"/>
    <w:rsid w:val="2AA00884"/>
    <w:rsid w:val="2BE10139"/>
    <w:rsid w:val="2C8024C3"/>
    <w:rsid w:val="2D724D1D"/>
    <w:rsid w:val="2F020469"/>
    <w:rsid w:val="365131E5"/>
    <w:rsid w:val="37850135"/>
    <w:rsid w:val="37E03FEF"/>
    <w:rsid w:val="3A0D58DD"/>
    <w:rsid w:val="3B5F3478"/>
    <w:rsid w:val="3E8B3298"/>
    <w:rsid w:val="42793792"/>
    <w:rsid w:val="46CD11C7"/>
    <w:rsid w:val="497663A8"/>
    <w:rsid w:val="4CC25244"/>
    <w:rsid w:val="4CD3772D"/>
    <w:rsid w:val="4CEF5D50"/>
    <w:rsid w:val="4DF6598E"/>
    <w:rsid w:val="4F1F5C48"/>
    <w:rsid w:val="4F594768"/>
    <w:rsid w:val="4FF31C56"/>
    <w:rsid w:val="504F289E"/>
    <w:rsid w:val="50A3066C"/>
    <w:rsid w:val="53B92710"/>
    <w:rsid w:val="55504297"/>
    <w:rsid w:val="560E25C4"/>
    <w:rsid w:val="59BA78BF"/>
    <w:rsid w:val="5C9823B6"/>
    <w:rsid w:val="5D974117"/>
    <w:rsid w:val="5EE02902"/>
    <w:rsid w:val="607201A7"/>
    <w:rsid w:val="61286916"/>
    <w:rsid w:val="6483676A"/>
    <w:rsid w:val="64F16536"/>
    <w:rsid w:val="65D55A0C"/>
    <w:rsid w:val="67FD0347"/>
    <w:rsid w:val="69D65940"/>
    <w:rsid w:val="6B2A2B95"/>
    <w:rsid w:val="6BEB4C72"/>
    <w:rsid w:val="6ED60922"/>
    <w:rsid w:val="70D33019"/>
    <w:rsid w:val="71E31A81"/>
    <w:rsid w:val="72FA5DFB"/>
    <w:rsid w:val="75041B8C"/>
    <w:rsid w:val="7A770BBA"/>
    <w:rsid w:val="7AFF639F"/>
    <w:rsid w:val="7B657C74"/>
    <w:rsid w:val="7B9E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343</Words>
  <Characters>1961</Characters>
  <Lines>16</Lines>
  <Paragraphs>4</Paragraphs>
  <TotalTime>5</TotalTime>
  <ScaleCrop>false</ScaleCrop>
  <LinksUpToDate>false</LinksUpToDate>
  <CharactersWithSpaces>2300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2019-09-16T03:24:00Z</dcterms:created>
  <dc:creator>null,null,总收发</dc:creator>
  <cp:lastModifiedBy>Administrator</cp:lastModifiedBy>
  <cp:lastPrinted>2019-09-16T03:04:00Z</cp:lastPrinted>
  <dcterms:modified xsi:type="dcterms:W3CDTF">2021-06-04T02:45:56Z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