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4A" w:rsidRDefault="000623B2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年邓州市科学技术协会　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   </w:t>
      </w:r>
    </w:p>
    <w:p w:rsidR="00CF5F4A" w:rsidRDefault="000623B2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CF5F4A" w:rsidRDefault="00CF5F4A">
      <w:pPr>
        <w:jc w:val="center"/>
        <w:rPr>
          <w:rFonts w:ascii="宋体" w:hAnsi="宋体"/>
          <w:b/>
          <w:sz w:val="28"/>
          <w:szCs w:val="32"/>
        </w:rPr>
      </w:pPr>
    </w:p>
    <w:p w:rsidR="00CF5F4A" w:rsidRDefault="000623B2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CF5F4A" w:rsidRDefault="000623B2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邓州市科学技术协会概况</w:t>
      </w:r>
    </w:p>
    <w:p w:rsidR="00CF5F4A" w:rsidRDefault="000623B2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CF5F4A" w:rsidRDefault="000623B2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</w:t>
      </w:r>
    </w:p>
    <w:p w:rsidR="00CF5F4A" w:rsidRDefault="000623B2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CF5F4A" w:rsidRDefault="000623B2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邓州市科学技术协会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CF5F4A" w:rsidRDefault="000623B2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CF5F4A" w:rsidRDefault="000623B2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CF5F4A" w:rsidRDefault="000623B2" w:rsidP="000623B2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CF5F4A" w:rsidRDefault="000623B2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CF5F4A" w:rsidRDefault="000623B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邓州市科学技术协会概况</w:t>
      </w:r>
    </w:p>
    <w:p w:rsidR="00CF5F4A" w:rsidRDefault="00CF5F4A">
      <w:pPr>
        <w:rPr>
          <w:rFonts w:ascii="仿宋_GB2312" w:eastAsia="仿宋_GB2312"/>
          <w:b/>
          <w:sz w:val="32"/>
          <w:szCs w:val="32"/>
        </w:rPr>
      </w:pPr>
    </w:p>
    <w:p w:rsidR="00CF5F4A" w:rsidRDefault="000623B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CF5F4A" w:rsidRDefault="000623B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弘扬科学精神，普及科学知识、传播科学思想和科学方法，提高全民的科学素质。</w:t>
      </w:r>
    </w:p>
    <w:p w:rsidR="00CF5F4A" w:rsidRDefault="000623B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CF5F4A" w:rsidRDefault="000623B2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机构设置：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邓州市科协机关核定全供事业编制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名。其中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主席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名，副主席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；内设办公室、学会部、科普部，核定</w:t>
      </w:r>
      <w:r>
        <w:rPr>
          <w:rFonts w:ascii="仿宋_GB2312" w:eastAsia="仿宋_GB2312" w:hAnsi="仿宋_GB2312" w:cs="仿宋_GB2312" w:hint="eastAsia"/>
          <w:sz w:val="32"/>
          <w:szCs w:val="32"/>
        </w:rPr>
        <w:t>正股级领导职数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color w:val="3D3D3D"/>
          <w:sz w:val="32"/>
          <w:szCs w:val="32"/>
          <w:shd w:val="clear" w:color="auto" w:fill="FFFFFF"/>
        </w:rPr>
        <w:t>。</w:t>
      </w:r>
    </w:p>
    <w:p w:rsidR="00CF5F4A" w:rsidRDefault="000623B2">
      <w:pPr>
        <w:numPr>
          <w:ilvl w:val="0"/>
          <w:numId w:val="2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部门预算单位构成</w:t>
      </w:r>
    </w:p>
    <w:p w:rsidR="00CF5F4A" w:rsidRDefault="000623B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邓州市科学技术协会</w:t>
      </w:r>
      <w:r>
        <w:rPr>
          <w:rFonts w:ascii="仿宋_GB2312" w:eastAsia="仿宋_GB2312" w:hint="eastAsia"/>
          <w:sz w:val="32"/>
          <w:szCs w:val="32"/>
        </w:rPr>
        <w:t>部门预算包括局机关本级预算。</w:t>
      </w:r>
    </w:p>
    <w:p w:rsidR="00CF5F4A" w:rsidRDefault="000623B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邓州市科学技术协会有二级预算单位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个，三级预算单位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个。本决算为汇总决算，纳入本部门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年度部门预算编报范围的预算单位包括邓州市科学技术协会本级。</w:t>
      </w: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CF5F4A">
      <w:pPr>
        <w:rPr>
          <w:rFonts w:ascii="仿宋_GB2312" w:eastAsia="仿宋_GB2312"/>
          <w:sz w:val="32"/>
          <w:szCs w:val="32"/>
        </w:rPr>
      </w:pPr>
    </w:p>
    <w:p w:rsidR="00CF5F4A" w:rsidRDefault="000623B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邓州市科学技术协会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CF5F4A" w:rsidRDefault="000623B2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CF5F4A" w:rsidRDefault="000623B2">
      <w:pPr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sz w:val="32"/>
          <w:szCs w:val="32"/>
        </w:rPr>
        <w:t>0.55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，增加</w:t>
      </w:r>
      <w:r>
        <w:rPr>
          <w:rFonts w:ascii="仿宋_GB2312" w:eastAsia="仿宋_GB2312" w:hint="eastAsia"/>
          <w:sz w:val="32"/>
          <w:szCs w:val="32"/>
        </w:rPr>
        <w:t>0.3%</w:t>
      </w:r>
      <w:r>
        <w:rPr>
          <w:rFonts w:ascii="仿宋_GB2312" w:eastAsia="仿宋_GB2312" w:hint="eastAsia"/>
          <w:sz w:val="32"/>
          <w:szCs w:val="32"/>
        </w:rPr>
        <w:t>。主要原因是：向上级争取科普项目资金增加。</w:t>
      </w:r>
    </w:p>
    <w:p w:rsidR="00CF5F4A" w:rsidRDefault="000623B2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CF5F4A" w:rsidRDefault="000623B2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CF5F4A" w:rsidRDefault="000623B2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58.52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36%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103.50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64%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F5F4A" w:rsidRDefault="000623B2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四、财政拨款收入支出预算总体情况说明</w:t>
      </w:r>
    </w:p>
    <w:p w:rsidR="00CF5F4A" w:rsidRDefault="000623B2">
      <w:pPr>
        <w:ind w:firstLineChars="200" w:firstLine="640"/>
        <w:rPr>
          <w:rFonts w:ascii="黑体" w:eastAsia="仿宋_GB2312" w:hAnsi="黑体" w:cs="Times New Roman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162.02</w:t>
      </w:r>
      <w:r>
        <w:rPr>
          <w:rFonts w:ascii="仿宋_GB2312" w:eastAsia="仿宋_GB2312" w:hint="eastAsia"/>
          <w:sz w:val="32"/>
          <w:szCs w:val="32"/>
        </w:rPr>
        <w:t>万元。与上年相比</w:t>
      </w:r>
      <w:r>
        <w:rPr>
          <w:rFonts w:ascii="仿宋_GB2312" w:eastAsia="仿宋_GB2312" w:hint="eastAsia"/>
          <w:sz w:val="32"/>
          <w:szCs w:val="32"/>
        </w:rPr>
        <w:t>，财政拨款收支预算增加</w:t>
      </w:r>
      <w:r>
        <w:rPr>
          <w:rFonts w:ascii="仿宋_GB2312" w:eastAsia="仿宋_GB2312" w:hint="eastAsia"/>
          <w:sz w:val="32"/>
          <w:szCs w:val="32"/>
        </w:rPr>
        <w:t>0.55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0.3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，主要原因：向</w:t>
      </w:r>
      <w:r>
        <w:rPr>
          <w:rFonts w:ascii="仿宋_GB2312" w:eastAsia="仿宋_GB2312" w:hint="eastAsia"/>
          <w:sz w:val="32"/>
          <w:szCs w:val="32"/>
        </w:rPr>
        <w:t>上级争取科普项目资金增加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F5F4A" w:rsidRDefault="000623B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CF5F4A" w:rsidRDefault="000623B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162.02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科学技术</w:t>
      </w:r>
      <w:r>
        <w:rPr>
          <w:rFonts w:ascii="Times New Roman" w:eastAsia="仿宋_GB2312" w:hAnsi="Times New Roman" w:cs="Times New Roman"/>
          <w:sz w:val="32"/>
          <w:szCs w:val="32"/>
        </w:rPr>
        <w:t>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147.08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90.77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9.09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5.61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2.25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1.39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3.6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2.22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5F4A" w:rsidRDefault="000623B2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六、指出预算经济分类情况说明</w:t>
      </w:r>
    </w:p>
    <w:p w:rsidR="00CF5F4A" w:rsidRDefault="000623B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</w:t>
      </w:r>
      <w:r>
        <w:rPr>
          <w:rFonts w:ascii="仿宋_GB2312" w:eastAsia="仿宋_GB2312" w:hint="eastAsia"/>
          <w:sz w:val="32"/>
          <w:szCs w:val="32"/>
        </w:rPr>
        <w:t>来源的全部预算支出。</w:t>
      </w:r>
    </w:p>
    <w:p w:rsidR="00CF5F4A" w:rsidRDefault="000623B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算情况说明</w:t>
      </w:r>
    </w:p>
    <w:p w:rsidR="00CF5F4A" w:rsidRDefault="000623B2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没有使用政府性基金预算拨款安排的支出。</w:t>
      </w:r>
    </w:p>
    <w:p w:rsidR="00CF5F4A" w:rsidRDefault="000623B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CF5F4A" w:rsidRDefault="000623B2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我单位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1.34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0.01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CF5F4A" w:rsidRDefault="000623B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CF5F4A" w:rsidRDefault="000623B2" w:rsidP="000623B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主要用于单位工作人员公务出国（境）的住宿费、旅费、伙食补助费、杂费、培训费等支出。预算数与上年持平。</w:t>
      </w:r>
    </w:p>
    <w:p w:rsidR="00CF5F4A" w:rsidRDefault="000623B2" w:rsidP="000623B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万元，主要用于开展工作所需公务用车的燃料费、维修费、过路过桥费、保险费、安全奖励费用等支出。公务用车购置费预算数与上年持平。</w:t>
      </w:r>
    </w:p>
    <w:p w:rsidR="00CF5F4A" w:rsidRDefault="000623B2" w:rsidP="000623B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lastRenderedPageBreak/>
        <w:t>（三）公务接待费</w:t>
      </w:r>
      <w:r>
        <w:rPr>
          <w:rFonts w:ascii="仿宋_GB2312" w:eastAsia="仿宋_GB2312" w:hint="eastAsia"/>
          <w:sz w:val="32"/>
          <w:szCs w:val="32"/>
        </w:rPr>
        <w:t>1.34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万元，主要用于按规定开支的各类公务接待（含外宾接待）支出。预算数比上年减少</w:t>
      </w:r>
      <w:r>
        <w:rPr>
          <w:rFonts w:ascii="仿宋_GB2312" w:eastAsia="仿宋_GB2312" w:hAnsi="宋体" w:cs="Courier New" w:hint="eastAsia"/>
          <w:sz w:val="32"/>
          <w:szCs w:val="32"/>
        </w:rPr>
        <w:t>0.01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厉行节约，压减招待支出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CF5F4A" w:rsidRDefault="000623B2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CF5F4A" w:rsidRDefault="000623B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7.92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CF5F4A" w:rsidRDefault="000623B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CF5F4A" w:rsidRDefault="000623B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年我单位没有安排预算绩效目标。</w:t>
      </w:r>
    </w:p>
    <w:p w:rsidR="00CF5F4A" w:rsidRDefault="000623B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年期末，我单位共有车辆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辆，其中：科普专用用车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CF5F4A" w:rsidRDefault="000623B2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CF5F4A" w:rsidRDefault="000623B2" w:rsidP="000623B2">
      <w:pPr>
        <w:ind w:firstLineChars="219" w:firstLine="70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我单位没有负责的专项转移支付项目。</w:t>
      </w:r>
    </w:p>
    <w:p w:rsidR="00CF5F4A" w:rsidRDefault="00CF5F4A">
      <w:pPr>
        <w:ind w:firstLine="709"/>
        <w:jc w:val="center"/>
        <w:rPr>
          <w:rFonts w:ascii="仿宋_GB2312" w:eastAsia="仿宋_GB2312"/>
          <w:b/>
          <w:sz w:val="32"/>
          <w:szCs w:val="32"/>
        </w:rPr>
      </w:pPr>
    </w:p>
    <w:p w:rsidR="00CF5F4A" w:rsidRDefault="000623B2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CF5F4A" w:rsidRDefault="000623B2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三、其他收入：是指部门取得的除“财政拨款”、“事业收入”、“事业单位经营收入”等以外的收入。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</w:t>
      </w:r>
      <w:r>
        <w:rPr>
          <w:rFonts w:ascii="仿宋_GB2312" w:eastAsia="仿宋_GB2312" w:hint="eastAsia"/>
          <w:sz w:val="32"/>
          <w:szCs w:val="32"/>
        </w:rPr>
        <w:lastRenderedPageBreak/>
        <w:t>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CF5F4A" w:rsidRDefault="000623B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CF5F4A" w:rsidRDefault="000623B2" w:rsidP="000623B2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CF5F4A" w:rsidRDefault="000623B2">
      <w:pPr>
        <w:ind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CF5F4A" w:rsidRDefault="00CF5F4A">
      <w:pPr>
        <w:rPr>
          <w:rFonts w:ascii="仿宋_GB2312" w:eastAsia="仿宋_GB2312" w:hAnsi="宋体"/>
          <w:sz w:val="32"/>
          <w:szCs w:val="32"/>
        </w:rPr>
      </w:pPr>
    </w:p>
    <w:p w:rsidR="00CF5F4A" w:rsidRDefault="00CF5F4A">
      <w:pPr>
        <w:rPr>
          <w:rFonts w:ascii="仿宋_GB2312" w:eastAsia="仿宋_GB2312" w:hAnsi="宋体"/>
          <w:sz w:val="32"/>
          <w:szCs w:val="32"/>
        </w:rPr>
      </w:pPr>
    </w:p>
    <w:p w:rsidR="00CF5F4A" w:rsidRDefault="00CF5F4A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sectPr w:rsidR="00CF5F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153F6"/>
    <w:multiLevelType w:val="singleLevel"/>
    <w:tmpl w:val="5EF153F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0667"/>
    <w:rsid w:val="00000164"/>
    <w:rsid w:val="00031516"/>
    <w:rsid w:val="00036BBB"/>
    <w:rsid w:val="000623B2"/>
    <w:rsid w:val="000A21F8"/>
    <w:rsid w:val="00163512"/>
    <w:rsid w:val="00197CC4"/>
    <w:rsid w:val="00214805"/>
    <w:rsid w:val="002F2F0E"/>
    <w:rsid w:val="00311D42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97BAF"/>
    <w:rsid w:val="007A79BD"/>
    <w:rsid w:val="00847A5C"/>
    <w:rsid w:val="008747E3"/>
    <w:rsid w:val="00921CA8"/>
    <w:rsid w:val="00972071"/>
    <w:rsid w:val="00984F09"/>
    <w:rsid w:val="009D0D41"/>
    <w:rsid w:val="00AC7B36"/>
    <w:rsid w:val="00AD7AE6"/>
    <w:rsid w:val="00AF37E4"/>
    <w:rsid w:val="00BC6702"/>
    <w:rsid w:val="00C8334B"/>
    <w:rsid w:val="00CF5F4A"/>
    <w:rsid w:val="00D72B10"/>
    <w:rsid w:val="00E13A03"/>
    <w:rsid w:val="00ED2B32"/>
    <w:rsid w:val="00F21FE8"/>
    <w:rsid w:val="0229329B"/>
    <w:rsid w:val="0C840297"/>
    <w:rsid w:val="10D93902"/>
    <w:rsid w:val="11D77B37"/>
    <w:rsid w:val="16FB4F43"/>
    <w:rsid w:val="17D0041E"/>
    <w:rsid w:val="207D005D"/>
    <w:rsid w:val="20F53F6B"/>
    <w:rsid w:val="22AE097B"/>
    <w:rsid w:val="2B6E57D8"/>
    <w:rsid w:val="3168305B"/>
    <w:rsid w:val="32F8632E"/>
    <w:rsid w:val="397336CF"/>
    <w:rsid w:val="3BBC1D2C"/>
    <w:rsid w:val="3EB554EF"/>
    <w:rsid w:val="423D3584"/>
    <w:rsid w:val="4A0A3D88"/>
    <w:rsid w:val="4B901AAA"/>
    <w:rsid w:val="538C1421"/>
    <w:rsid w:val="5CA8687F"/>
    <w:rsid w:val="60D3160D"/>
    <w:rsid w:val="643364F2"/>
    <w:rsid w:val="692B69E1"/>
    <w:rsid w:val="6E136122"/>
    <w:rsid w:val="6F9B7A32"/>
    <w:rsid w:val="703057A0"/>
    <w:rsid w:val="72356867"/>
    <w:rsid w:val="7310270C"/>
    <w:rsid w:val="7BA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393</Words>
  <Characters>2244</Characters>
  <Application>Microsoft Office Word</Application>
  <DocSecurity>0</DocSecurity>
  <Lines>18</Lines>
  <Paragraphs>5</Paragraphs>
  <ScaleCrop>false</ScaleCrop>
  <Company>Sky123.Org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邓州市2020年邓州市科学技术协会　   </dc:title>
  <dc:creator>null,null,总收发</dc:creator>
  <cp:lastModifiedBy>User</cp:lastModifiedBy>
  <cp:revision>3</cp:revision>
  <cp:lastPrinted>2019-09-16T03:04:00Z</cp:lastPrinted>
  <dcterms:created xsi:type="dcterms:W3CDTF">2019-09-16T03:24:00Z</dcterms:created>
  <dcterms:modified xsi:type="dcterms:W3CDTF">2021-06-04T03:57:00Z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