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2019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年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工商局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部门预算基本情况说明</w:t>
      </w:r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hint="eastAsia"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工商局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pStyle w:val="10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10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工商局2019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2019</w:t>
      </w:r>
      <w:r>
        <w:rPr>
          <w:rFonts w:hint="eastAsia" w:ascii="仿宋_GB2312" w:eastAsia="仿宋_GB2312" w:hAnsiTheme="majorEastAsia"/>
          <w:sz w:val="32"/>
          <w:szCs w:val="32"/>
        </w:rPr>
        <w:t>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工商局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ind w:firstLine="566" w:firstLineChars="177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贯彻执行国家和省有关工商行政管理的法律、法规和规章、政策，组织实施全市的市场监督管理和行政执法有关工作；负责各类企业、农民专业合作社和从事经营活动的单位、个人及外国（地区）企业常驻代表机构等市场主体的登记注册并监督管理，依法查处取缔无照经营；承担促进市场公平竞争、依法规范和维护全市各类市场经营秩序的相关责任，负责监督管理有关市场交易行为；负责监督管理流通领域商品和服务质量，组织开展商品质量和有关服务领域消费维权工作，按分工查处假冒伪劣等违法行为，受理、处理消费者咨询、投诉、举报及网络体系建设等工作，保护经营者、消费者合法权益等工作。</w:t>
      </w:r>
    </w:p>
    <w:p>
      <w:pPr>
        <w:ind w:firstLine="566" w:firstLineChars="177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二、工商局机构设置及部门预算单位构成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（一）机构设置</w:t>
      </w:r>
    </w:p>
    <w:p>
      <w:pPr>
        <w:ind w:firstLine="566" w:firstLineChars="177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邓州市工商行政管理局内设机构 10个，包括：办公室、行政审批服务科、注册登记科、人事科、财务科、消保科、监管科、法制科、网络交易监管科、纪检监察室；局直属机构 2个：邓州市工商局经济检查大队、邓州市工商局 315 投诉举报中心；20 个派出机构：花洲工商所、舒心园工商所、古城工商所、专业工商所、新风工商所、湍河工商所、构林工商所、桑庄工商所、刘集工商所、林扒工商所、彭桥工商所、 孟楼工商所、高集工商所、文渠工商所、罗庄工商所、张村工商所、裴营工商所、夏集工商所、穰东工商所、赵集工商所；局属事业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单位 2 个：邓州市个体劳动者协会、邓州市消费者协会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部门预算单位构成</w:t>
      </w:r>
    </w:p>
    <w:p>
      <w:pPr>
        <w:pStyle w:val="2"/>
        <w:spacing w:before="0" w:line="600" w:lineRule="exact"/>
        <w:ind w:left="0" w:firstLine="566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邓州市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工商局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部门预算包括局机关本级预算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/>
          <w:sz w:val="30"/>
          <w:szCs w:val="32"/>
        </w:rPr>
        <w:t>无下设预算单位。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1、邓州市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工商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局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本级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工商局2019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工商局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2019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hint="eastAsia" w:ascii="仿宋_GB2312" w:eastAsia="仿宋_GB2312"/>
          <w:sz w:val="32"/>
          <w:szCs w:val="32"/>
        </w:rPr>
        <w:t>3211.8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</w:rPr>
        <w:t>3211.8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hint="eastAsia" w:ascii="Times New Roman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增</w:t>
      </w:r>
      <w:r>
        <w:rPr>
          <w:rFonts w:hint="eastAsia" w:ascii="仿宋_GB2312" w:eastAsia="仿宋_GB2312"/>
          <w:sz w:val="32"/>
          <w:szCs w:val="32"/>
          <w:lang w:eastAsia="zh-CN"/>
        </w:rPr>
        <w:t>加</w:t>
      </w:r>
      <w:r>
        <w:rPr>
          <w:rFonts w:hint="eastAsia" w:ascii="仿宋_GB2312" w:eastAsia="仿宋_GB2312"/>
          <w:sz w:val="32"/>
          <w:szCs w:val="32"/>
        </w:rPr>
        <w:t>122.64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，增长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仿宋_GB2312" w:eastAsia="仿宋_GB2312"/>
          <w:sz w:val="32"/>
          <w:szCs w:val="32"/>
        </w:rPr>
        <w:t>人员经费增加</w:t>
      </w:r>
      <w:r>
        <w:rPr>
          <w:rFonts w:hint="eastAsia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adjustRightInd w:val="0"/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工商局2019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hint="eastAsia" w:ascii="仿宋_GB2312" w:eastAsia="仿宋_GB2312"/>
          <w:sz w:val="32"/>
          <w:szCs w:val="32"/>
        </w:rPr>
        <w:t>3211.8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hint="eastAsia" w:ascii="Times New Roman" w:eastAsia="仿宋_GB2312"/>
          <w:sz w:val="32"/>
          <w:szCs w:val="32"/>
          <w:lang w:eastAsia="zh-CN"/>
        </w:rPr>
        <w:t>收入</w:t>
      </w:r>
      <w:r>
        <w:rPr>
          <w:rFonts w:hint="eastAsia" w:ascii="仿宋_GB2312" w:eastAsia="仿宋_GB2312"/>
          <w:sz w:val="32"/>
          <w:szCs w:val="32"/>
        </w:rPr>
        <w:t>3211.8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9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工商局2019</w:t>
      </w:r>
      <w:r>
        <w:rPr>
          <w:rFonts w:ascii="Times New Roman" w:eastAsia="仿宋_GB2312"/>
          <w:sz w:val="32"/>
          <w:szCs w:val="32"/>
        </w:rPr>
        <w:t>年支出预算</w:t>
      </w:r>
      <w:r>
        <w:rPr>
          <w:rFonts w:hint="eastAsia" w:ascii="仿宋_GB2312" w:eastAsia="仿宋_GB2312"/>
          <w:sz w:val="32"/>
          <w:szCs w:val="32"/>
        </w:rPr>
        <w:t>3211.8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  <w:lang w:eastAsia="zh-CN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hint="eastAsia" w:ascii="仿宋_GB2312" w:eastAsia="仿宋_GB2312"/>
          <w:sz w:val="32"/>
          <w:szCs w:val="32"/>
        </w:rPr>
        <w:t>2289.58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71.29</w:t>
      </w:r>
      <w:r>
        <w:rPr>
          <w:rFonts w:ascii="Times New Roman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</w:rPr>
        <w:t>922.22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28.71</w:t>
      </w:r>
      <w:r>
        <w:rPr>
          <w:rFonts w:ascii="Times New Roman" w:eastAsia="仿宋_GB2312"/>
          <w:sz w:val="32"/>
          <w:szCs w:val="32"/>
        </w:rPr>
        <w:t>%。</w:t>
      </w:r>
      <w:r>
        <w:rPr>
          <w:rFonts w:hint="eastAsia" w:ascii="Times New Roman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四、财政拨款收支情况说明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工商局2019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财政拨款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3211.8万元，支出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3211.8万元，与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年相比，收入支出</w:t>
      </w:r>
      <w:r>
        <w:rPr>
          <w:rFonts w:hint="eastAsia" w:ascii="Times New Roman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增</w:t>
      </w:r>
      <w:r>
        <w:rPr>
          <w:rFonts w:hint="eastAsia" w:ascii="仿宋_GB2312" w:eastAsia="仿宋_GB2312"/>
          <w:sz w:val="32"/>
          <w:szCs w:val="32"/>
          <w:lang w:eastAsia="zh-CN"/>
        </w:rPr>
        <w:t>加</w:t>
      </w:r>
      <w:r>
        <w:rPr>
          <w:rFonts w:hint="eastAsia" w:ascii="仿宋_GB2312" w:eastAsia="仿宋_GB2312"/>
          <w:sz w:val="32"/>
          <w:szCs w:val="32"/>
        </w:rPr>
        <w:t>122.64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，增长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仿宋_GB2312" w:eastAsia="仿宋_GB2312"/>
          <w:sz w:val="32"/>
          <w:szCs w:val="32"/>
        </w:rPr>
        <w:t>人员经费增加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工商局2019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仿宋_GB2312" w:eastAsia="仿宋_GB2312"/>
          <w:sz w:val="32"/>
          <w:szCs w:val="32"/>
        </w:rPr>
        <w:t>3157.8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万元。主要用于以下方面：一般公共服务（类）支出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2597.95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82.27</w:t>
      </w:r>
      <w:r>
        <w:rPr>
          <w:rFonts w:ascii="Times New Roman" w:hAnsi="Times New Roman" w:eastAsia="仿宋_GB2312" w:cs="Times New Roman"/>
          <w:sz w:val="32"/>
          <w:szCs w:val="32"/>
        </w:rPr>
        <w:t>%；社会保障和就业（类）支出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331.17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10.49</w:t>
      </w:r>
      <w:r>
        <w:rPr>
          <w:rFonts w:ascii="Times New Roman" w:hAnsi="Times New Roman" w:eastAsia="仿宋_GB2312" w:cs="Times New Roman"/>
          <w:sz w:val="32"/>
          <w:szCs w:val="32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102.2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3.23</w:t>
      </w:r>
      <w:r>
        <w:rPr>
          <w:rFonts w:ascii="Times New Roman" w:hAnsi="Times New Roman" w:eastAsia="仿宋_GB2312" w:cs="Times New Roman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126.48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4.1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六、支出预算经济分类情况说明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按照《财政部关于印发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&lt;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支出经济分类科目改革方案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&gt;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的通知》（财预〔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号）要求，从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,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按两套经济分类科目分别反映不同资金来源的全部预算支出。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</w:t>
      </w:r>
      <w:r>
        <w:rPr>
          <w:rFonts w:hint="eastAsia" w:ascii="黑体" w:eastAsia="黑体"/>
          <w:sz w:val="32"/>
          <w:szCs w:val="32"/>
          <w:lang w:eastAsia="zh-CN"/>
        </w:rPr>
        <w:t>预</w:t>
      </w:r>
      <w:r>
        <w:rPr>
          <w:rFonts w:hint="eastAsia" w:ascii="黑体" w:eastAsia="黑体"/>
          <w:sz w:val="32"/>
          <w:szCs w:val="32"/>
        </w:rPr>
        <w:t>算情况说明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我单位2019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我单位2019</w:t>
      </w:r>
      <w:r>
        <w:rPr>
          <w:rFonts w:hint="eastAsia" w:ascii="仿宋_GB2312" w:eastAsia="仿宋_GB2312"/>
          <w:sz w:val="32"/>
          <w:szCs w:val="32"/>
        </w:rPr>
        <w:t>年“三公”经费预算为106万元。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2019年“三公“经费支出预算数与上年持平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主要用于单位工作人员公务出国（境）的住宿费、旅费、伙食补助费、杂费、培训费等支出。预算数与上年持平。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公务用车购置费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及维护费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，其中，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公务用车购置费0万元；</w:t>
      </w:r>
      <w:r>
        <w:rPr>
          <w:rFonts w:hint="eastAsia" w:ascii="仿宋_GB2312" w:eastAsia="仿宋_GB2312"/>
          <w:sz w:val="32"/>
          <w:szCs w:val="32"/>
          <w:lang w:eastAsia="zh-CN"/>
        </w:rPr>
        <w:t>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主要用于开展工作所需公务用车的燃料费、维修费、过路过桥费、保险费等支出。公务用车购置费预算数与2019年持平，均为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万元。公务用车运行维护费，预算数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与上年持平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主要用于按规定开支的各类公务接待支出。预算数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与上年持平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工商局2019</w:t>
      </w:r>
      <w:r>
        <w:rPr>
          <w:rFonts w:hint="eastAsia" w:ascii="仿宋_GB2312" w:eastAsia="仿宋_GB2312"/>
          <w:sz w:val="32"/>
          <w:szCs w:val="32"/>
        </w:rPr>
        <w:t>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333.08</w:t>
      </w:r>
      <w:r>
        <w:rPr>
          <w:rFonts w:hint="eastAsia" w:ascii="仿宋_GB2312" w:eastAsia="仿宋_GB2312"/>
          <w:sz w:val="32"/>
          <w:szCs w:val="32"/>
        </w:rPr>
        <w:t>万元，主要保障机关人员机构正常运转及正常履职需要。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我单位2019</w:t>
      </w:r>
      <w:r>
        <w:rPr>
          <w:rFonts w:hint="eastAsia" w:ascii="仿宋_GB2312" w:eastAsia="仿宋_GB2312"/>
          <w:sz w:val="32"/>
          <w:szCs w:val="32"/>
        </w:rPr>
        <w:t>年无政府采购预算安排。</w:t>
      </w:r>
    </w:p>
    <w:p>
      <w:pPr>
        <w:ind w:firstLine="709"/>
        <w:rPr>
          <w:rFonts w:hint="default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（三）绩效目标设置情况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未安排预算绩效目标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,特种专业技术用车21辆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我单位暂无负责的专项转移支付项目。</w:t>
      </w:r>
    </w:p>
    <w:p>
      <w:pPr>
        <w:ind w:firstLine="709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>
      <w:pPr>
        <w:ind w:firstLine="709"/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11D42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C622C7"/>
    <w:rsid w:val="00D72B10"/>
    <w:rsid w:val="00E13A03"/>
    <w:rsid w:val="00ED2B32"/>
    <w:rsid w:val="015E4A4C"/>
    <w:rsid w:val="044A5932"/>
    <w:rsid w:val="04C24CD3"/>
    <w:rsid w:val="066D0C7E"/>
    <w:rsid w:val="06BE1DED"/>
    <w:rsid w:val="07EC657B"/>
    <w:rsid w:val="0C956DB9"/>
    <w:rsid w:val="0ECB7CCF"/>
    <w:rsid w:val="10BB1A3D"/>
    <w:rsid w:val="10D93902"/>
    <w:rsid w:val="17024C77"/>
    <w:rsid w:val="17EB3846"/>
    <w:rsid w:val="1B4E4ED7"/>
    <w:rsid w:val="1D6544B8"/>
    <w:rsid w:val="1E1C1FAB"/>
    <w:rsid w:val="20F53F6B"/>
    <w:rsid w:val="21172D08"/>
    <w:rsid w:val="22AC43D0"/>
    <w:rsid w:val="24327BE8"/>
    <w:rsid w:val="24484ADF"/>
    <w:rsid w:val="27BA0E29"/>
    <w:rsid w:val="2D550CFE"/>
    <w:rsid w:val="3168305B"/>
    <w:rsid w:val="33954D0A"/>
    <w:rsid w:val="39065879"/>
    <w:rsid w:val="3AEB3A7E"/>
    <w:rsid w:val="3B0C18C2"/>
    <w:rsid w:val="3BBC1D2C"/>
    <w:rsid w:val="3C87608A"/>
    <w:rsid w:val="3F9A345B"/>
    <w:rsid w:val="423D3584"/>
    <w:rsid w:val="446778BB"/>
    <w:rsid w:val="471314C5"/>
    <w:rsid w:val="4A1137D8"/>
    <w:rsid w:val="4A183A49"/>
    <w:rsid w:val="4B17485A"/>
    <w:rsid w:val="4B901AAA"/>
    <w:rsid w:val="4C36439B"/>
    <w:rsid w:val="4DC340C1"/>
    <w:rsid w:val="4EB23847"/>
    <w:rsid w:val="510F705E"/>
    <w:rsid w:val="585E2BE6"/>
    <w:rsid w:val="58802D5A"/>
    <w:rsid w:val="59CD76D7"/>
    <w:rsid w:val="5A8E1F02"/>
    <w:rsid w:val="5AB45193"/>
    <w:rsid w:val="5CA8687F"/>
    <w:rsid w:val="5D963B0A"/>
    <w:rsid w:val="609A5DE3"/>
    <w:rsid w:val="60AF768B"/>
    <w:rsid w:val="60D15B65"/>
    <w:rsid w:val="60D3160D"/>
    <w:rsid w:val="646876B8"/>
    <w:rsid w:val="648876C2"/>
    <w:rsid w:val="67471495"/>
    <w:rsid w:val="69603508"/>
    <w:rsid w:val="696A15A2"/>
    <w:rsid w:val="6BA053D8"/>
    <w:rsid w:val="6DD00BE6"/>
    <w:rsid w:val="6E260E7A"/>
    <w:rsid w:val="6F9B7A32"/>
    <w:rsid w:val="705604A8"/>
    <w:rsid w:val="71317C58"/>
    <w:rsid w:val="72356867"/>
    <w:rsid w:val="72CE3402"/>
    <w:rsid w:val="734507C7"/>
    <w:rsid w:val="7701693E"/>
    <w:rsid w:val="78BD42BC"/>
    <w:rsid w:val="79D11516"/>
    <w:rsid w:val="7B530E71"/>
    <w:rsid w:val="7B9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7"/>
      <w:ind w:left="120"/>
    </w:pPr>
    <w:rPr>
      <w:sz w:val="32"/>
      <w:szCs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1</TotalTime>
  <ScaleCrop>false</ScaleCrop>
  <LinksUpToDate>false</LinksUpToDate>
  <CharactersWithSpaces>2300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Mr.</cp:lastModifiedBy>
  <cp:lastPrinted>2021-03-23T01:12:00Z</cp:lastPrinted>
  <dcterms:modified xsi:type="dcterms:W3CDTF">2021-06-04T08:59:16Z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