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2019</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招商局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招商局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招商局2019</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2019</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招商局</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一）贯彻实施国家、省、市有关对外开放、招商引资方面的法规和政策，组织开展招商引资调查研究工作，为市委、市政府决策提供参考依据；拟定全市利用外来投资政策及招商引资工作的中长期规划和年度计划并组织实施。</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二</w:t>
      </w:r>
      <w:r>
        <w:rPr>
          <w:rFonts w:hint="eastAsia" w:ascii="仿宋" w:hAnsi="宋体" w:eastAsia="仿宋" w:cs="宋体"/>
          <w:kern w:val="0"/>
          <w:sz w:val="30"/>
          <w:lang w:val="zh-CN" w:bidi="zh-CN"/>
        </w:rPr>
        <w:t>）负责全市招商引资政策库、重点招商项目库、重点目标企业库和招商引资信息平台建设。</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三</w:t>
      </w:r>
      <w:r>
        <w:rPr>
          <w:rFonts w:hint="eastAsia" w:ascii="仿宋" w:hAnsi="宋体" w:eastAsia="仿宋" w:cs="宋体"/>
          <w:kern w:val="0"/>
          <w:sz w:val="30"/>
          <w:lang w:val="zh-CN" w:bidi="zh-CN"/>
        </w:rPr>
        <w:t>）组织参加国家和省举办的重大招商引资洽谈活动；负责在境内外招商工作的策划与组织实施。</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四</w:t>
      </w:r>
      <w:r>
        <w:rPr>
          <w:rFonts w:hint="eastAsia" w:ascii="仿宋" w:hAnsi="宋体" w:eastAsia="仿宋" w:cs="宋体"/>
          <w:kern w:val="0"/>
          <w:sz w:val="30"/>
          <w:lang w:val="zh-CN" w:bidi="zh-CN"/>
        </w:rPr>
        <w:t>）负责统筹、协调、组织市直有关部门和乡镇（街、区）按照</w:t>
      </w:r>
      <w:r>
        <w:rPr>
          <w:rFonts w:hint="eastAsia" w:ascii="仿宋" w:hAnsi="宋体" w:eastAsia="仿宋" w:cs="宋体"/>
          <w:kern w:val="0"/>
          <w:sz w:val="30"/>
          <w:lang w:val="en-US" w:eastAsia="zh-CN" w:bidi="zh-CN"/>
        </w:rPr>
        <w:t>部门</w:t>
      </w:r>
      <w:r>
        <w:rPr>
          <w:rFonts w:hint="eastAsia" w:ascii="仿宋" w:hAnsi="宋体" w:eastAsia="仿宋" w:cs="宋体"/>
          <w:kern w:val="0"/>
          <w:sz w:val="30"/>
          <w:lang w:val="zh-CN" w:bidi="zh-CN"/>
        </w:rPr>
        <w:t>职能和管理权限做好外来投资项目联审联批以及落地前各类手续全程代办服务</w:t>
      </w:r>
      <w:r>
        <w:rPr>
          <w:rFonts w:hint="eastAsia" w:ascii="仿宋" w:hAnsi="宋体" w:eastAsia="仿宋" w:cs="宋体"/>
          <w:kern w:val="0"/>
          <w:sz w:val="30"/>
          <w:lang w:val="en-US" w:eastAsia="zh-CN" w:bidi="zh-CN"/>
        </w:rPr>
        <w:t>及协调</w:t>
      </w:r>
      <w:r>
        <w:rPr>
          <w:rFonts w:hint="eastAsia" w:ascii="仿宋" w:hAnsi="宋体" w:eastAsia="仿宋" w:cs="宋体"/>
          <w:kern w:val="0"/>
          <w:sz w:val="30"/>
          <w:lang w:val="zh-CN" w:bidi="zh-CN"/>
        </w:rPr>
        <w:t>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五</w:t>
      </w:r>
      <w:r>
        <w:rPr>
          <w:rFonts w:hint="eastAsia" w:ascii="仿宋" w:hAnsi="宋体" w:eastAsia="仿宋" w:cs="宋体"/>
          <w:kern w:val="0"/>
          <w:sz w:val="30"/>
          <w:lang w:val="zh-CN" w:bidi="zh-CN"/>
        </w:rPr>
        <w:t>）承担邓州市开放招商领导小组办公室日常工作，督促落实邓州市开放招商领导小组研究确定的重大事项。</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六</w:t>
      </w:r>
      <w:r>
        <w:rPr>
          <w:rFonts w:hint="eastAsia" w:ascii="仿宋" w:hAnsi="宋体" w:eastAsia="仿宋" w:cs="宋体"/>
          <w:kern w:val="0"/>
          <w:sz w:val="30"/>
          <w:lang w:val="zh-CN" w:bidi="zh-CN"/>
        </w:rPr>
        <w:t>）负责外来投资咨询服务，协调外来投资项目的</w:t>
      </w:r>
      <w:r>
        <w:rPr>
          <w:rFonts w:hint="eastAsia" w:ascii="仿宋" w:hAnsi="宋体" w:eastAsia="仿宋" w:cs="宋体"/>
          <w:kern w:val="0"/>
          <w:sz w:val="30"/>
          <w:lang w:val="en-US" w:eastAsia="zh-CN" w:bidi="zh-CN"/>
        </w:rPr>
        <w:t>前期服务</w:t>
      </w:r>
      <w:r>
        <w:rPr>
          <w:rFonts w:hint="eastAsia" w:ascii="仿宋" w:hAnsi="宋体" w:eastAsia="仿宋" w:cs="宋体"/>
          <w:kern w:val="0"/>
          <w:sz w:val="30"/>
          <w:lang w:val="zh-CN" w:bidi="zh-CN"/>
        </w:rPr>
        <w:t>、中期督查和后期跟踪落实工作。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七</w:t>
      </w:r>
      <w:r>
        <w:rPr>
          <w:rFonts w:hint="eastAsia" w:ascii="仿宋" w:hAnsi="宋体" w:eastAsia="仿宋" w:cs="宋体"/>
          <w:kern w:val="0"/>
          <w:sz w:val="30"/>
          <w:lang w:val="zh-CN" w:bidi="zh-CN"/>
        </w:rPr>
        <w:t>）负责全市招商引资运行统计、分析、督导和监控</w:t>
      </w:r>
      <w:r>
        <w:rPr>
          <w:rFonts w:hint="eastAsia" w:ascii="仿宋" w:hAnsi="宋体" w:eastAsia="仿宋" w:cs="宋体"/>
          <w:kern w:val="0"/>
          <w:sz w:val="30"/>
          <w:lang w:val="zh-CN" w:eastAsia="zh-CN" w:bidi="zh-CN"/>
        </w:rPr>
        <w:t>，</w:t>
      </w:r>
      <w:r>
        <w:rPr>
          <w:rFonts w:hint="eastAsia" w:ascii="仿宋" w:hAnsi="宋体" w:eastAsia="仿宋" w:cs="宋体"/>
          <w:kern w:val="0"/>
          <w:sz w:val="30"/>
          <w:lang w:val="en-US" w:eastAsia="zh-CN" w:bidi="zh-CN"/>
        </w:rPr>
        <w:t>会同市商务局做好统计上报工作</w:t>
      </w:r>
      <w:r>
        <w:rPr>
          <w:rFonts w:hint="eastAsia" w:ascii="仿宋" w:hAnsi="宋体" w:eastAsia="仿宋" w:cs="宋体"/>
          <w:kern w:val="0"/>
          <w:sz w:val="30"/>
          <w:lang w:val="zh-CN" w:bidi="zh-CN"/>
        </w:rPr>
        <w:t>。指导各乡镇（街、区）、有关部门开放招商工作。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八</w:t>
      </w: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负责做好全市重大项目的调研、咨询、可研编制及后续协调、跟进工作。</w:t>
      </w:r>
    </w:p>
    <w:p>
      <w:pPr>
        <w:keepNext w:val="0"/>
        <w:keepLines w:val="0"/>
        <w:pageBreakBefore w:val="0"/>
        <w:widowControl w:val="0"/>
        <w:kinsoku/>
        <w:wordWrap/>
        <w:overflowPunct/>
        <w:topLinePunct w:val="0"/>
        <w:autoSpaceDE w:val="0"/>
        <w:autoSpaceDN w:val="0"/>
        <w:bidi w:val="0"/>
        <w:adjustRightInd/>
        <w:snapToGrid/>
        <w:spacing w:before="239" w:after="0" w:line="406" w:lineRule="auto"/>
        <w:ind w:left="320" w:right="315" w:firstLine="600"/>
        <w:jc w:val="both"/>
        <w:textAlignment w:val="auto"/>
        <w:rPr>
          <w:rFonts w:hint="eastAsia" w:ascii="仿宋" w:hAnsi="宋体" w:eastAsia="仿宋" w:cs="宋体"/>
          <w:kern w:val="0"/>
          <w:sz w:val="30"/>
          <w:lang w:val="zh-CN" w:bidi="zh-CN"/>
        </w:rPr>
      </w:pPr>
      <w:r>
        <w:rPr>
          <w:rFonts w:hint="eastAsia" w:ascii="仿宋" w:hAnsi="宋体" w:eastAsia="仿宋" w:cs="宋体"/>
          <w:kern w:val="0"/>
          <w:sz w:val="30"/>
          <w:lang w:val="zh-CN" w:bidi="zh-CN"/>
        </w:rPr>
        <w:t>（</w:t>
      </w:r>
      <w:r>
        <w:rPr>
          <w:rFonts w:hint="eastAsia" w:ascii="仿宋" w:hAnsi="宋体" w:eastAsia="仿宋" w:cs="宋体"/>
          <w:kern w:val="0"/>
          <w:sz w:val="30"/>
          <w:lang w:val="en-US" w:eastAsia="zh-CN" w:bidi="zh-CN"/>
        </w:rPr>
        <w:t>九</w:t>
      </w:r>
      <w:r>
        <w:rPr>
          <w:rFonts w:hint="eastAsia" w:ascii="仿宋" w:hAnsi="宋体" w:eastAsia="仿宋" w:cs="宋体"/>
          <w:kern w:val="0"/>
          <w:sz w:val="30"/>
          <w:lang w:val="zh-CN" w:bidi="zh-CN"/>
        </w:rPr>
        <w:t>）承办市政府交办的其他</w:t>
      </w:r>
      <w:r>
        <w:rPr>
          <w:rFonts w:hint="eastAsia" w:ascii="仿宋" w:hAnsi="宋体" w:eastAsia="仿宋" w:cs="宋体"/>
          <w:kern w:val="0"/>
          <w:sz w:val="30"/>
          <w:lang w:val="en-US" w:eastAsia="zh-CN" w:bidi="zh-CN"/>
        </w:rPr>
        <w:t>事项；会同商务局共同做好省商务厅交办的相关工作。</w:t>
      </w: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二、招商局机构设置及部门预算单位构成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566" w:firstLineChars="177"/>
        <w:rPr>
          <w:rFonts w:ascii="仿宋_GB2312" w:eastAsia="仿宋_GB2312"/>
          <w:sz w:val="32"/>
          <w:szCs w:val="32"/>
        </w:rPr>
      </w:pPr>
      <w:r>
        <w:rPr>
          <w:rFonts w:hint="eastAsia" w:ascii="仿宋_GB2312" w:eastAsia="仿宋_GB2312"/>
          <w:sz w:val="32"/>
          <w:szCs w:val="32"/>
          <w:lang w:eastAsia="zh-CN"/>
        </w:rPr>
        <w:t>招商局</w:t>
      </w:r>
      <w:r>
        <w:rPr>
          <w:rFonts w:hint="eastAsia" w:ascii="仿宋_GB2312" w:eastAsia="仿宋_GB2312"/>
          <w:sz w:val="32"/>
          <w:szCs w:val="32"/>
        </w:rPr>
        <w:t>机关</w:t>
      </w:r>
      <w:r>
        <w:rPr>
          <w:rFonts w:hint="eastAsia" w:ascii="仿宋" w:hAnsi="宋体" w:eastAsia="仿宋" w:cs="宋体"/>
          <w:kern w:val="0"/>
          <w:sz w:val="30"/>
          <w:lang w:val="zh-CN" w:bidi="zh-CN"/>
        </w:rPr>
        <w:t>内设综合科、招商</w:t>
      </w:r>
      <w:r>
        <w:rPr>
          <w:rFonts w:hint="eastAsia" w:ascii="仿宋" w:hAnsi="宋体" w:eastAsia="仿宋" w:cs="宋体"/>
          <w:kern w:val="0"/>
          <w:sz w:val="30"/>
          <w:lang w:val="zh-CN" w:eastAsia="zh-CN" w:bidi="zh-CN"/>
        </w:rPr>
        <w:t>一</w:t>
      </w:r>
      <w:r>
        <w:rPr>
          <w:rFonts w:hint="eastAsia" w:ascii="仿宋" w:hAnsi="宋体" w:eastAsia="仿宋" w:cs="宋体"/>
          <w:kern w:val="0"/>
          <w:sz w:val="30"/>
          <w:lang w:val="zh-CN" w:bidi="zh-CN"/>
        </w:rPr>
        <w:t>科、招商</w:t>
      </w:r>
      <w:r>
        <w:rPr>
          <w:rFonts w:hint="eastAsia" w:ascii="仿宋" w:hAnsi="宋体" w:eastAsia="仿宋" w:cs="宋体"/>
          <w:kern w:val="0"/>
          <w:sz w:val="30"/>
          <w:lang w:val="zh-CN" w:eastAsia="zh-CN" w:bidi="zh-CN"/>
        </w:rPr>
        <w:t>二</w:t>
      </w:r>
      <w:r>
        <w:rPr>
          <w:rFonts w:hint="eastAsia" w:ascii="仿宋" w:hAnsi="宋体" w:eastAsia="仿宋" w:cs="宋体"/>
          <w:kern w:val="0"/>
          <w:sz w:val="30"/>
          <w:lang w:val="zh-CN" w:bidi="zh-CN"/>
        </w:rPr>
        <w:t>科</w:t>
      </w:r>
      <w:r>
        <w:rPr>
          <w:rFonts w:hint="eastAsia" w:ascii="仿宋" w:hAnsi="宋体" w:eastAsia="仿宋" w:cs="宋体"/>
          <w:kern w:val="0"/>
          <w:sz w:val="30"/>
          <w:lang w:val="zh-CN" w:eastAsia="zh-CN" w:bidi="zh-CN"/>
        </w:rPr>
        <w:t>、</w:t>
      </w:r>
      <w:r>
        <w:rPr>
          <w:rFonts w:hint="eastAsia" w:ascii="仿宋" w:hAnsi="宋体" w:eastAsia="仿宋" w:cs="宋体"/>
          <w:kern w:val="0"/>
          <w:sz w:val="30"/>
          <w:lang w:val="zh-CN" w:bidi="zh-CN"/>
        </w:rPr>
        <w:t>招商</w:t>
      </w:r>
      <w:r>
        <w:rPr>
          <w:rFonts w:hint="eastAsia" w:ascii="仿宋" w:hAnsi="宋体" w:eastAsia="仿宋" w:cs="宋体"/>
          <w:kern w:val="0"/>
          <w:sz w:val="30"/>
          <w:lang w:val="zh-CN" w:eastAsia="zh-CN" w:bidi="zh-CN"/>
        </w:rPr>
        <w:t>三</w:t>
      </w:r>
      <w:r>
        <w:rPr>
          <w:rFonts w:hint="eastAsia" w:ascii="仿宋" w:hAnsi="宋体" w:eastAsia="仿宋" w:cs="宋体"/>
          <w:kern w:val="0"/>
          <w:sz w:val="30"/>
          <w:lang w:val="zh-CN" w:bidi="zh-CN"/>
        </w:rPr>
        <w:t>科</w:t>
      </w:r>
      <w:r>
        <w:rPr>
          <w:rFonts w:hint="eastAsia" w:ascii="仿宋" w:hAnsi="宋体" w:eastAsia="仿宋" w:cs="宋体"/>
          <w:kern w:val="0"/>
          <w:sz w:val="30"/>
          <w:lang w:val="en-US" w:bidi="zh-CN"/>
        </w:rPr>
        <w:t>4个科室</w:t>
      </w:r>
      <w:r>
        <w:rPr>
          <w:rFonts w:hint="eastAsia" w:ascii="宋体" w:hAnsi="宋体" w:cs="宋体"/>
          <w:sz w:val="32"/>
          <w:szCs w:val="32"/>
          <w:lang w:eastAsia="zh-CN"/>
        </w:rPr>
        <w:t>。</w:t>
      </w:r>
    </w:p>
    <w:p>
      <w:pPr>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招商局</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1、邓州市</w:t>
      </w:r>
      <w:r>
        <w:rPr>
          <w:rFonts w:hint="eastAsia" w:ascii="Times New Roman" w:hAnsi="Times New Roman" w:eastAsia="仿宋_GB2312"/>
          <w:sz w:val="32"/>
          <w:szCs w:val="32"/>
          <w:lang w:eastAsia="zh-CN"/>
        </w:rPr>
        <w:t>招商局</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招商局2019</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招商局</w:t>
      </w:r>
      <w:r>
        <w:rPr>
          <w:rFonts w:hint="eastAsia" w:ascii="Times New Roman" w:hAnsi="Times New Roman" w:eastAsia="仿宋_GB2312"/>
          <w:sz w:val="32"/>
          <w:szCs w:val="32"/>
          <w:lang w:eastAsia="zh-CN"/>
        </w:rPr>
        <w:t>2019</w:t>
      </w:r>
      <w:r>
        <w:rPr>
          <w:rFonts w:ascii="Times New Roman" w:eastAsia="仿宋_GB2312"/>
          <w:sz w:val="32"/>
          <w:szCs w:val="32"/>
        </w:rPr>
        <w:t>年收入总计</w:t>
      </w:r>
      <w:r>
        <w:rPr>
          <w:rFonts w:hint="eastAsia" w:ascii="仿宋" w:hAnsi="宋体" w:eastAsia="仿宋" w:cs="宋体"/>
          <w:kern w:val="0"/>
          <w:sz w:val="30"/>
          <w:lang w:val="en-US" w:eastAsia="zh-CN" w:bidi="zh-CN"/>
        </w:rPr>
        <w:t>134.19</w:t>
      </w:r>
      <w:r>
        <w:rPr>
          <w:rFonts w:ascii="Times New Roman" w:eastAsia="仿宋_GB2312"/>
          <w:sz w:val="32"/>
          <w:szCs w:val="32"/>
        </w:rPr>
        <w:t>万元，支出总计</w:t>
      </w:r>
      <w:r>
        <w:rPr>
          <w:rFonts w:hint="eastAsia" w:ascii="仿宋" w:hAnsi="宋体" w:eastAsia="仿宋" w:cs="宋体"/>
          <w:kern w:val="0"/>
          <w:sz w:val="30"/>
          <w:lang w:val="en-US" w:eastAsia="zh-CN" w:bidi="zh-CN"/>
        </w:rPr>
        <w:t>134.19</w:t>
      </w:r>
      <w:r>
        <w:rPr>
          <w:rFonts w:ascii="Times New Roman" w:eastAsia="仿宋_GB2312"/>
          <w:sz w:val="32"/>
          <w:szCs w:val="32"/>
        </w:rPr>
        <w:t>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减少2.02</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仿宋_GB2312" w:eastAsia="仿宋_GB2312"/>
          <w:sz w:val="32"/>
          <w:szCs w:val="32"/>
          <w:lang w:val="en-US" w:eastAsia="zh-CN"/>
        </w:rPr>
        <w:t>1.48%。</w:t>
      </w:r>
      <w:r>
        <w:rPr>
          <w:rFonts w:ascii="Times New Roman" w:eastAsia="仿宋_GB2312"/>
          <w:sz w:val="32"/>
          <w:szCs w:val="32"/>
        </w:rPr>
        <w:t>主要原因是：</w:t>
      </w:r>
      <w:r>
        <w:rPr>
          <w:rFonts w:hint="eastAsia" w:ascii="Times New Roman" w:eastAsia="仿宋_GB2312"/>
          <w:sz w:val="32"/>
          <w:szCs w:val="32"/>
          <w:lang w:eastAsia="zh-CN"/>
        </w:rPr>
        <w:t>项目支出减少</w:t>
      </w:r>
      <w:r>
        <w:rPr>
          <w:rFonts w:hint="eastAsia" w:eastAsia="仿宋_GB2312"/>
          <w:sz w:val="32"/>
          <w:szCs w:val="32"/>
        </w:rPr>
        <w:t>。</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Times New Roman" w:hAnsi="Times New Roman" w:eastAsia="仿宋_GB2312"/>
          <w:sz w:val="32"/>
          <w:szCs w:val="32"/>
          <w:lang w:eastAsia="zh-CN"/>
        </w:rPr>
        <w:t>招商局2019</w:t>
      </w:r>
      <w:r>
        <w:rPr>
          <w:rFonts w:ascii="Times New Roman" w:eastAsia="仿宋_GB2312"/>
          <w:sz w:val="32"/>
          <w:szCs w:val="32"/>
        </w:rPr>
        <w:t>年收入预算</w:t>
      </w:r>
      <w:r>
        <w:rPr>
          <w:rFonts w:hint="eastAsia" w:ascii="仿宋" w:hAnsi="宋体" w:eastAsia="仿宋" w:cs="宋体"/>
          <w:kern w:val="0"/>
          <w:sz w:val="30"/>
          <w:lang w:val="en-US" w:eastAsia="zh-CN" w:bidi="zh-CN"/>
        </w:rPr>
        <w:t>134.19</w:t>
      </w:r>
      <w:r>
        <w:rPr>
          <w:rFonts w:ascii="Times New Roman" w:eastAsia="仿宋_GB2312"/>
          <w:sz w:val="32"/>
          <w:szCs w:val="32"/>
        </w:rPr>
        <w:t>万元，其中：一般公共预算</w:t>
      </w:r>
      <w:r>
        <w:rPr>
          <w:rFonts w:hint="eastAsia" w:ascii="Times New Roman" w:eastAsia="仿宋_GB2312"/>
          <w:sz w:val="32"/>
          <w:szCs w:val="32"/>
          <w:lang w:eastAsia="zh-CN"/>
        </w:rPr>
        <w:t>收入</w:t>
      </w:r>
      <w:r>
        <w:rPr>
          <w:rFonts w:hint="eastAsia" w:ascii="仿宋" w:hAnsi="宋体" w:eastAsia="仿宋" w:cs="宋体"/>
          <w:kern w:val="0"/>
          <w:sz w:val="30"/>
          <w:lang w:val="en-US" w:eastAsia="zh-CN" w:bidi="zh-CN"/>
        </w:rPr>
        <w:t>134.19</w:t>
      </w:r>
      <w:r>
        <w:rPr>
          <w:rFonts w:ascii="Times New Roman" w:eastAsia="仿宋_GB2312"/>
          <w:sz w:val="32"/>
          <w:szCs w:val="32"/>
        </w:rPr>
        <w:t>万元，政府性基金收入</w:t>
      </w:r>
      <w:r>
        <w:rPr>
          <w:rFonts w:ascii="Times New Roman" w:hAnsi="Times New Roman" w:eastAsia="仿宋_GB2312"/>
          <w:sz w:val="32"/>
          <w:szCs w:val="32"/>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Times New Roman" w:eastAsia="仿宋_GB2312"/>
          <w:sz w:val="32"/>
          <w:szCs w:val="32"/>
          <w:lang w:eastAsia="zh-CN"/>
        </w:rPr>
        <w:t>招商局2019</w:t>
      </w:r>
      <w:r>
        <w:rPr>
          <w:rFonts w:ascii="Times New Roman" w:eastAsia="仿宋_GB2312"/>
          <w:sz w:val="32"/>
          <w:szCs w:val="32"/>
        </w:rPr>
        <w:t>年支出预算</w:t>
      </w:r>
      <w:r>
        <w:rPr>
          <w:rFonts w:hint="eastAsia" w:ascii="仿宋" w:hAnsi="宋体" w:eastAsia="仿宋" w:cs="宋体"/>
          <w:kern w:val="0"/>
          <w:sz w:val="30"/>
          <w:lang w:val="en-US" w:eastAsia="zh-CN" w:bidi="zh-CN"/>
        </w:rPr>
        <w:t>134.19</w:t>
      </w:r>
      <w:r>
        <w:rPr>
          <w:rFonts w:ascii="Times New Roman" w:eastAsia="仿宋_GB2312"/>
          <w:sz w:val="32"/>
          <w:szCs w:val="32"/>
        </w:rPr>
        <w:t>万元，</w:t>
      </w:r>
      <w:r>
        <w:rPr>
          <w:rFonts w:hint="eastAsia" w:ascii="Times New Roman" w:eastAsia="仿宋_GB2312"/>
          <w:sz w:val="32"/>
          <w:szCs w:val="32"/>
          <w:lang w:eastAsia="zh-CN"/>
        </w:rPr>
        <w:t>其中</w:t>
      </w:r>
      <w:r>
        <w:rPr>
          <w:rFonts w:ascii="Times New Roman" w:eastAsia="仿宋_GB2312"/>
          <w:sz w:val="32"/>
          <w:szCs w:val="32"/>
        </w:rPr>
        <w:t>：基本支出</w:t>
      </w:r>
      <w:r>
        <w:rPr>
          <w:rFonts w:hint="eastAsia" w:ascii="仿宋" w:hAnsi="宋体" w:eastAsia="仿宋" w:cs="宋体"/>
          <w:kern w:val="0"/>
          <w:sz w:val="30"/>
          <w:lang w:val="en-US" w:eastAsia="zh-CN" w:bidi="zh-CN"/>
        </w:rPr>
        <w:t>72.19</w:t>
      </w:r>
      <w:r>
        <w:rPr>
          <w:rFonts w:ascii="Times New Roman" w:eastAsia="仿宋_GB2312"/>
          <w:sz w:val="32"/>
          <w:szCs w:val="32"/>
        </w:rPr>
        <w:t>万元，占</w:t>
      </w:r>
      <w:r>
        <w:rPr>
          <w:rFonts w:hint="eastAsia" w:ascii="仿宋" w:hAnsi="宋体" w:eastAsia="仿宋" w:cs="宋体"/>
          <w:kern w:val="0"/>
          <w:sz w:val="30"/>
          <w:lang w:val="en-US" w:eastAsia="zh-CN" w:bidi="zh-CN"/>
        </w:rPr>
        <w:t>53.7</w:t>
      </w:r>
      <w:r>
        <w:rPr>
          <w:rFonts w:ascii="Times New Roman" w:eastAsia="仿宋_GB2312"/>
          <w:sz w:val="32"/>
          <w:szCs w:val="32"/>
        </w:rPr>
        <w:t>%；项目支出</w:t>
      </w:r>
      <w:r>
        <w:rPr>
          <w:rFonts w:hint="eastAsia" w:ascii="仿宋" w:hAnsi="宋体" w:eastAsia="仿宋" w:cs="宋体"/>
          <w:kern w:val="0"/>
          <w:sz w:val="30"/>
          <w:lang w:val="en-US" w:eastAsia="zh-CN" w:bidi="zh-CN"/>
        </w:rPr>
        <w:t>62</w:t>
      </w:r>
      <w:r>
        <w:rPr>
          <w:rFonts w:ascii="Times New Roman" w:eastAsia="仿宋_GB2312"/>
          <w:sz w:val="32"/>
          <w:szCs w:val="32"/>
        </w:rPr>
        <w:t>万元，占</w:t>
      </w:r>
      <w:r>
        <w:rPr>
          <w:rFonts w:hint="eastAsia" w:ascii="仿宋" w:hAnsi="宋体" w:eastAsia="仿宋" w:cs="宋体"/>
          <w:kern w:val="0"/>
          <w:sz w:val="30"/>
          <w:lang w:val="en-US" w:eastAsia="zh-CN" w:bidi="zh-CN"/>
        </w:rPr>
        <w:t>46.3</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招商局2019</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 w:hAnsi="宋体" w:eastAsia="仿宋" w:cs="宋体"/>
          <w:kern w:val="0"/>
          <w:sz w:val="30"/>
          <w:lang w:val="en-US" w:eastAsia="zh-CN" w:bidi="zh-CN"/>
        </w:rPr>
        <w:t>134.19</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 w:hAnsi="宋体" w:eastAsia="仿宋" w:cs="宋体"/>
          <w:kern w:val="0"/>
          <w:sz w:val="30"/>
          <w:lang w:val="en-US" w:eastAsia="zh-CN" w:bidi="zh-CN"/>
        </w:rPr>
        <w:t>134.19</w:t>
      </w:r>
      <w:r>
        <w:rPr>
          <w:rFonts w:hint="eastAsia" w:ascii="仿宋_GB2312" w:eastAsia="仿宋_GB2312"/>
          <w:sz w:val="32"/>
          <w:szCs w:val="32"/>
        </w:rPr>
        <w:t>万元，与</w:t>
      </w: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减少2.02</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仿宋_GB2312" w:eastAsia="仿宋_GB2312"/>
          <w:sz w:val="32"/>
          <w:szCs w:val="32"/>
          <w:lang w:val="en-US" w:eastAsia="zh-CN"/>
        </w:rPr>
        <w:t>1.48%。</w:t>
      </w:r>
      <w:r>
        <w:rPr>
          <w:rFonts w:ascii="Times New Roman" w:eastAsia="仿宋_GB2312"/>
          <w:sz w:val="32"/>
          <w:szCs w:val="32"/>
        </w:rPr>
        <w:t>主要原因是：</w:t>
      </w:r>
      <w:r>
        <w:rPr>
          <w:rFonts w:hint="eastAsia" w:ascii="Times New Roman" w:eastAsia="仿宋_GB2312"/>
          <w:sz w:val="32"/>
          <w:szCs w:val="32"/>
          <w:lang w:eastAsia="zh-CN"/>
        </w:rPr>
        <w:t>项目支出减少</w:t>
      </w:r>
      <w:r>
        <w:rPr>
          <w:rFonts w:hint="eastAsia" w:eastAsia="仿宋_GB2312"/>
          <w:sz w:val="32"/>
          <w:szCs w:val="32"/>
        </w:rPr>
        <w:t>。</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lang w:eastAsia="zh-CN"/>
        </w:rPr>
        <w:t>招商局2019</w:t>
      </w:r>
      <w:r>
        <w:rPr>
          <w:rFonts w:ascii="Times New Roman" w:hAnsi="Times New Roman" w:eastAsia="仿宋_GB2312" w:cs="Times New Roman"/>
          <w:sz w:val="32"/>
          <w:szCs w:val="32"/>
        </w:rPr>
        <w:t>年一般公共预算支出年初预算为</w:t>
      </w:r>
      <w:r>
        <w:rPr>
          <w:rFonts w:hint="eastAsia" w:ascii="仿宋" w:hAnsi="宋体" w:eastAsia="仿宋" w:cs="宋体"/>
          <w:kern w:val="0"/>
          <w:sz w:val="30"/>
          <w:lang w:val="en-US" w:eastAsia="zh-CN" w:bidi="zh-CN"/>
        </w:rPr>
        <w:t>134.19</w:t>
      </w:r>
      <w:r>
        <w:rPr>
          <w:rFonts w:ascii="Times New Roman" w:hAnsi="Times New Roman" w:eastAsia="仿宋_GB2312" w:cs="Times New Roman"/>
          <w:sz w:val="32"/>
          <w:szCs w:val="32"/>
        </w:rPr>
        <w:t>万元。主要用于以下方面：</w:t>
      </w:r>
      <w:r>
        <w:rPr>
          <w:rFonts w:hint="eastAsia" w:ascii="仿宋" w:hAnsi="宋体" w:eastAsia="仿宋" w:cs="宋体"/>
          <w:kern w:val="0"/>
          <w:sz w:val="30"/>
          <w:lang w:val="zh-CN" w:bidi="zh-CN"/>
        </w:rPr>
        <w:t>一般公共服务（类）支出</w:t>
      </w:r>
      <w:r>
        <w:rPr>
          <w:rFonts w:hint="eastAsia" w:ascii="仿宋" w:hAnsi="宋体" w:eastAsia="仿宋" w:cs="宋体"/>
          <w:kern w:val="0"/>
          <w:sz w:val="30"/>
          <w:lang w:val="en-US" w:eastAsia="zh-CN" w:bidi="zh-CN"/>
        </w:rPr>
        <w:t>117.59</w:t>
      </w:r>
      <w:r>
        <w:rPr>
          <w:rFonts w:hint="eastAsia" w:ascii="仿宋" w:hAnsi="宋体" w:eastAsia="仿宋" w:cs="宋体"/>
          <w:kern w:val="0"/>
          <w:sz w:val="30"/>
          <w:lang w:val="zh-CN" w:bidi="zh-CN"/>
        </w:rPr>
        <w:t>万元，占</w:t>
      </w:r>
      <w:r>
        <w:rPr>
          <w:rFonts w:hint="eastAsia" w:ascii="仿宋" w:hAnsi="宋体" w:eastAsia="仿宋" w:cs="宋体"/>
          <w:kern w:val="0"/>
          <w:sz w:val="30"/>
          <w:lang w:val="en-US" w:eastAsia="zh-CN" w:bidi="zh-CN"/>
        </w:rPr>
        <w:t>87.62</w:t>
      </w:r>
      <w:r>
        <w:rPr>
          <w:rFonts w:hint="eastAsia" w:ascii="仿宋" w:hAnsi="宋体" w:eastAsia="仿宋" w:cs="宋体"/>
          <w:kern w:val="0"/>
          <w:sz w:val="30"/>
          <w:lang w:val="zh-CN" w:bidi="zh-CN"/>
        </w:rPr>
        <w:t>%；社会保障和就业（类）支出8.</w:t>
      </w:r>
      <w:r>
        <w:rPr>
          <w:rFonts w:hint="eastAsia" w:ascii="仿宋" w:hAnsi="宋体" w:eastAsia="仿宋" w:cs="宋体"/>
          <w:kern w:val="0"/>
          <w:sz w:val="30"/>
          <w:lang w:val="en-US" w:eastAsia="zh-CN" w:bidi="zh-CN"/>
        </w:rPr>
        <w:t>5</w:t>
      </w:r>
      <w:r>
        <w:rPr>
          <w:rFonts w:hint="eastAsia" w:ascii="仿宋" w:hAnsi="宋体" w:eastAsia="仿宋" w:cs="宋体"/>
          <w:kern w:val="0"/>
          <w:sz w:val="30"/>
          <w:lang w:val="zh-CN" w:bidi="zh-CN"/>
        </w:rPr>
        <w:t>6万元，占</w:t>
      </w:r>
      <w:r>
        <w:rPr>
          <w:rFonts w:hint="eastAsia" w:ascii="仿宋" w:hAnsi="宋体" w:eastAsia="仿宋" w:cs="宋体"/>
          <w:kern w:val="0"/>
          <w:sz w:val="30"/>
          <w:lang w:val="en-US" w:eastAsia="zh-CN" w:bidi="zh-CN"/>
        </w:rPr>
        <w:t>6.38</w:t>
      </w:r>
      <w:r>
        <w:rPr>
          <w:rFonts w:hint="eastAsia" w:ascii="仿宋" w:hAnsi="宋体" w:eastAsia="仿宋" w:cs="宋体"/>
          <w:kern w:val="0"/>
          <w:sz w:val="30"/>
          <w:lang w:val="zh-CN" w:bidi="zh-CN"/>
        </w:rPr>
        <w:t>%，医疗卫生与计划生育（类）支出3.0</w:t>
      </w:r>
      <w:r>
        <w:rPr>
          <w:rFonts w:hint="eastAsia" w:ascii="仿宋" w:hAnsi="宋体" w:eastAsia="仿宋" w:cs="宋体"/>
          <w:kern w:val="0"/>
          <w:sz w:val="30"/>
          <w:lang w:val="en-US" w:eastAsia="zh-CN" w:bidi="zh-CN"/>
        </w:rPr>
        <w:t>4</w:t>
      </w:r>
      <w:r>
        <w:rPr>
          <w:rFonts w:hint="eastAsia" w:ascii="仿宋" w:hAnsi="宋体" w:eastAsia="仿宋" w:cs="宋体"/>
          <w:kern w:val="0"/>
          <w:sz w:val="30"/>
          <w:lang w:val="zh-CN" w:bidi="zh-CN"/>
        </w:rPr>
        <w:t>万元，占</w:t>
      </w:r>
      <w:r>
        <w:rPr>
          <w:rFonts w:hint="eastAsia" w:ascii="仿宋" w:hAnsi="宋体" w:eastAsia="仿宋" w:cs="宋体"/>
          <w:kern w:val="0"/>
          <w:sz w:val="30"/>
          <w:lang w:val="en-US" w:eastAsia="zh-CN" w:bidi="zh-CN"/>
        </w:rPr>
        <w:t>2.2</w:t>
      </w:r>
      <w:r>
        <w:rPr>
          <w:rFonts w:hint="eastAsia" w:ascii="仿宋" w:hAnsi="宋体" w:eastAsia="仿宋" w:cs="宋体"/>
          <w:kern w:val="0"/>
          <w:sz w:val="30"/>
          <w:lang w:val="zh-CN" w:bidi="zh-CN"/>
        </w:rPr>
        <w:t>%，住房保障（类）支出</w:t>
      </w:r>
      <w:r>
        <w:rPr>
          <w:rFonts w:hint="eastAsia" w:ascii="仿宋" w:hAnsi="宋体" w:eastAsia="仿宋" w:cs="宋体"/>
          <w:kern w:val="0"/>
          <w:sz w:val="30"/>
          <w:lang w:val="en-US" w:eastAsia="zh-CN" w:bidi="zh-CN"/>
        </w:rPr>
        <w:t>5</w:t>
      </w:r>
      <w:r>
        <w:rPr>
          <w:rFonts w:hint="eastAsia" w:ascii="仿宋" w:hAnsi="宋体" w:eastAsia="仿宋" w:cs="宋体"/>
          <w:kern w:val="0"/>
          <w:sz w:val="30"/>
          <w:lang w:val="zh-CN" w:bidi="zh-CN"/>
        </w:rPr>
        <w:t>万元，占</w:t>
      </w:r>
      <w:r>
        <w:rPr>
          <w:rFonts w:hint="eastAsia" w:ascii="仿宋" w:hAnsi="宋体" w:eastAsia="仿宋" w:cs="宋体"/>
          <w:kern w:val="0"/>
          <w:sz w:val="30"/>
          <w:lang w:val="en-US" w:eastAsia="zh-CN" w:bidi="zh-CN"/>
        </w:rPr>
        <w:t>3.8</w:t>
      </w:r>
      <w:r>
        <w:rPr>
          <w:rFonts w:hint="eastAsia" w:ascii="仿宋" w:hAnsi="宋体" w:eastAsia="仿宋" w:cs="宋体"/>
          <w:kern w:val="0"/>
          <w:sz w:val="30"/>
          <w:lang w:val="zh-CN" w:bidi="zh-CN"/>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我单位2019</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年“三公”经费预算为</w:t>
      </w:r>
      <w:r>
        <w:rPr>
          <w:rFonts w:hint="eastAsia" w:ascii="仿宋_GB2312" w:eastAsia="仿宋_GB2312"/>
          <w:sz w:val="32"/>
          <w:szCs w:val="32"/>
          <w:lang w:val="en-US" w:eastAsia="zh-CN"/>
        </w:rPr>
        <w:t>34</w:t>
      </w:r>
      <w:r>
        <w:rPr>
          <w:rFonts w:hint="eastAsia" w:ascii="仿宋_GB2312" w:eastAsia="仿宋_GB2312"/>
          <w:sz w:val="32"/>
          <w:szCs w:val="32"/>
        </w:rPr>
        <w:t>万元。</w:t>
      </w:r>
      <w:r>
        <w:rPr>
          <w:rFonts w:hint="eastAsia" w:ascii="仿宋_GB2312" w:eastAsia="仿宋_GB2312"/>
          <w:sz w:val="32"/>
          <w:szCs w:val="32"/>
          <w:lang w:val="en-US" w:eastAsia="zh-CN"/>
        </w:rPr>
        <w:t>2019年“三公“经费支出预算数与上年持平</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6万元。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主要用于开展工作所需公务用车的燃料费、维修费、过路过桥费、保险费等支出。公务用车购置费预算数与2019年持平，均为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w:t>
      </w:r>
      <w:r>
        <w:rPr>
          <w:rFonts w:hint="eastAsia" w:ascii="Times New Roman" w:hAnsi="Times New Roman" w:eastAsia="仿宋_GB2312" w:cs="仿宋_GB2312"/>
          <w:kern w:val="2"/>
          <w:sz w:val="32"/>
          <w:szCs w:val="32"/>
          <w:lang w:val="en-US" w:eastAsia="zh-CN" w:bidi="ar"/>
        </w:rPr>
        <w:t>与上年持平</w:t>
      </w:r>
      <w:r>
        <w:rPr>
          <w:rFonts w:hint="eastAsia" w:ascii="Times New Roman" w:hAnsi="Times New Roman" w:eastAsia="仿宋_GB2312" w:cs="Times New Roman"/>
          <w:kern w:val="2"/>
          <w:sz w:val="32"/>
          <w:szCs w:val="32"/>
          <w:lang w:val="en-US" w:eastAsia="zh-CN" w:bidi="ar"/>
        </w:rPr>
        <w:t>。</w:t>
      </w:r>
    </w:p>
    <w:p>
      <w:pPr>
        <w:ind w:firstLine="643" w:firstLineChars="200"/>
        <w:rPr>
          <w:rFonts w:ascii="仿宋_GB2312" w:eastAsia="仿宋_GB2312"/>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28</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Times New Roman" w:hAnsi="Times New Roman" w:eastAsia="仿宋_GB2312" w:cs="仿宋_GB2312"/>
          <w:kern w:val="2"/>
          <w:sz w:val="32"/>
          <w:szCs w:val="32"/>
          <w:lang w:val="en-US" w:eastAsia="zh-CN" w:bidi="ar"/>
        </w:rPr>
        <w:t>与上年持平</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招商局2019</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5.59</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2019年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w:t>
      </w:r>
      <w:bookmarkStart w:id="0" w:name="_GoBack"/>
      <w:bookmarkEnd w:id="0"/>
      <w:r>
        <w:rPr>
          <w:rFonts w:hint="eastAsia" w:ascii="仿宋_GB2312" w:eastAsia="仿宋_GB2312"/>
          <w:sz w:val="32"/>
          <w:szCs w:val="32"/>
          <w:highlight w:val="none"/>
          <w:lang w:eastAsia="zh-CN"/>
        </w:rPr>
        <w:t>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66D0C7E"/>
    <w:rsid w:val="06BE1DED"/>
    <w:rsid w:val="07EC657B"/>
    <w:rsid w:val="0C956DB9"/>
    <w:rsid w:val="10BB1A3D"/>
    <w:rsid w:val="10D93902"/>
    <w:rsid w:val="17024C77"/>
    <w:rsid w:val="17EB3846"/>
    <w:rsid w:val="1D6544B8"/>
    <w:rsid w:val="1E1C1FAB"/>
    <w:rsid w:val="1E9254CB"/>
    <w:rsid w:val="20F53F6B"/>
    <w:rsid w:val="21172D08"/>
    <w:rsid w:val="22AC43D0"/>
    <w:rsid w:val="24327BE8"/>
    <w:rsid w:val="24484ADF"/>
    <w:rsid w:val="2526519B"/>
    <w:rsid w:val="2D550CFE"/>
    <w:rsid w:val="3168305B"/>
    <w:rsid w:val="33954D0A"/>
    <w:rsid w:val="39065879"/>
    <w:rsid w:val="3AEB3A7E"/>
    <w:rsid w:val="3B0C18C2"/>
    <w:rsid w:val="3BBC1D2C"/>
    <w:rsid w:val="3C87608A"/>
    <w:rsid w:val="423D3584"/>
    <w:rsid w:val="446778BB"/>
    <w:rsid w:val="450F63CF"/>
    <w:rsid w:val="471314C5"/>
    <w:rsid w:val="4A1137D8"/>
    <w:rsid w:val="4A183A49"/>
    <w:rsid w:val="4B17485A"/>
    <w:rsid w:val="4B901AAA"/>
    <w:rsid w:val="4C36439B"/>
    <w:rsid w:val="4DC340C1"/>
    <w:rsid w:val="4EB23847"/>
    <w:rsid w:val="510F705E"/>
    <w:rsid w:val="585E2BE6"/>
    <w:rsid w:val="58802D5A"/>
    <w:rsid w:val="59CD76D7"/>
    <w:rsid w:val="5A8E1F02"/>
    <w:rsid w:val="5AB45193"/>
    <w:rsid w:val="5CA8687F"/>
    <w:rsid w:val="5D963B0A"/>
    <w:rsid w:val="609A5DE3"/>
    <w:rsid w:val="60AF768B"/>
    <w:rsid w:val="60D15B65"/>
    <w:rsid w:val="60D3160D"/>
    <w:rsid w:val="646876B8"/>
    <w:rsid w:val="648876C2"/>
    <w:rsid w:val="67471495"/>
    <w:rsid w:val="696A15A2"/>
    <w:rsid w:val="6DD00BE6"/>
    <w:rsid w:val="6F9B7A32"/>
    <w:rsid w:val="705604A8"/>
    <w:rsid w:val="71317C58"/>
    <w:rsid w:val="72356867"/>
    <w:rsid w:val="72CE3402"/>
    <w:rsid w:val="734507C7"/>
    <w:rsid w:val="7701693E"/>
    <w:rsid w:val="78BD42BC"/>
    <w:rsid w:val="79D11516"/>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2</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2021-06-04T06:03:44Z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