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邓州市2020年 大数据管理中心（行政审批服务中心）部门预算基本情况说明</w:t>
      </w:r>
    </w:p>
    <w:p>
      <w:pPr>
        <w:jc w:val="center"/>
        <w:rPr>
          <w:rFonts w:ascii="宋体" w:hAnsi="宋体" w:eastAsia="宋体"/>
          <w:b/>
          <w:sz w:val="28"/>
          <w:szCs w:val="32"/>
        </w:rPr>
      </w:pPr>
    </w:p>
    <w:p>
      <w:pPr>
        <w:jc w:val="center"/>
        <w:rPr>
          <w:rFonts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目  录</w:t>
      </w:r>
    </w:p>
    <w:p>
      <w:pPr>
        <w:spacing w:beforeLines="100"/>
        <w:ind w:left="1600" w:hanging="1600" w:hangingChars="5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邓州市大数据管理中心（行政审批服务中心）概况</w:t>
      </w:r>
    </w:p>
    <w:p>
      <w:pPr>
        <w:pStyle w:val="6"/>
        <w:numPr>
          <w:ilvl w:val="0"/>
          <w:numId w:val="1"/>
        </w:numPr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主要职能</w:t>
      </w:r>
    </w:p>
    <w:p>
      <w:pPr>
        <w:pStyle w:val="6"/>
        <w:numPr>
          <w:ilvl w:val="0"/>
          <w:numId w:val="1"/>
        </w:numPr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机构设置及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部</w:t>
      </w:r>
      <w:r>
        <w:rPr>
          <w:rFonts w:hint="eastAsia" w:ascii="仿宋_GB2312" w:hAnsi="Times New Roman" w:eastAsia="仿宋_GB2312" w:cs="仿宋_GB2312"/>
          <w:sz w:val="32"/>
          <w:szCs w:val="32"/>
        </w:rPr>
        <w:t>门预算单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位构成</w:t>
      </w:r>
    </w:p>
    <w:p>
      <w:pPr>
        <w:ind w:left="1600" w:hanging="1600" w:hangingChars="5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邓州市大数据管理中心（行政审批服务中心）2020年部门预算情况说明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：2020年度部门预算表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6" w:firstLineChars="133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br w:type="page"/>
      </w:r>
    </w:p>
    <w:p>
      <w:pPr>
        <w:spacing w:beforeLines="100"/>
        <w:ind w:left="1600" w:hanging="1600" w:hangingChars="5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邓州市大数据管理中心（行政审批服务中心）概况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邓州市大数据管理中心（邓州市行政审批服务中心）主要职责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1）</w:t>
      </w:r>
      <w:r>
        <w:rPr>
          <w:rFonts w:hint="eastAsia" w:ascii="仿宋_GB2312" w:eastAsia="仿宋_GB2312"/>
          <w:sz w:val="32"/>
          <w:szCs w:val="32"/>
        </w:rPr>
        <w:t>承担全市“放管服”改革的衔接落实工作;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（2）负责对各部门进驻审批类和服务类事项集中办理的组织协调、监督、管理和指导服务;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（3）负责推进行政审批、便民服务流程优化和标准化建设工作,制定政务平合服务指南,统一标准规范、服务方式;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（4）负责建设全市网上政务大厅和市、乡镇(街、区)、社区(村）三级联动的线上线下一体化的政务服务、大数据平合,实现政务服务网上申请、网上办理、网上监察;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（5）负责推进各部门数据资源整合,实现网上政务服务平合与各部门业务系统的互联互通,提升行政效能;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（6）负责全市电子商务、产业发展信息的收集、整理、发布、推介工作;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（7）承办各部门需要数据支撑的业务衔接工作;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（8）承办市政府交办的其他事项。  </w:t>
      </w:r>
    </w:p>
    <w:p>
      <w:pPr>
        <w:numPr>
          <w:numId w:val="0"/>
        </w:numPr>
        <w:tabs>
          <w:tab w:val="left" w:pos="5040"/>
        </w:tabs>
        <w:adjustRightInd w:val="0"/>
        <w:snapToGrid w:val="0"/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邓州市大数据管理中心（邓州市行政审批服务中心）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机构设置及部门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预算单位构成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70" w:leftChars="0" w:right="118" w:firstLine="360" w:firstLineChars="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  <w:t>机构设置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邓州市大数据管理中心（邓州市行政审批服务中心）为市政府直属的正科级财政全供事业单位，内设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6个科室，包括</w:t>
      </w:r>
      <w:r>
        <w:rPr>
          <w:rFonts w:hint="eastAsia" w:ascii="仿宋_GB2312" w:eastAsia="仿宋_GB2312"/>
          <w:sz w:val="32"/>
          <w:szCs w:val="32"/>
        </w:rPr>
        <w:t>综合科、</w:t>
      </w:r>
      <w:r>
        <w:rPr>
          <w:rFonts w:hint="eastAsia" w:ascii="仿宋_GB2312" w:eastAsia="仿宋_GB2312"/>
          <w:sz w:val="32"/>
          <w:szCs w:val="32"/>
          <w:lang w:eastAsia="zh-CN"/>
        </w:rPr>
        <w:t>政务服务科、网络管理科、商务产业信息科、运行维护科、培训科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kern w:val="0"/>
          <w:sz w:val="32"/>
          <w:szCs w:val="32"/>
          <w:lang w:eastAsia="zh-CN"/>
        </w:rPr>
        <w:t>（二）部门预算单位构成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邓州市大数据管理中心（邓州市行政审批服务中心）预算是本级预算无二级预算单位。</w:t>
      </w:r>
    </w:p>
    <w:p>
      <w:pPr>
        <w:numPr>
          <w:ilvl w:val="0"/>
          <w:numId w:val="3"/>
        </w:num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邓州市大数据管理中心（行政审批服务中心）</w:t>
      </w:r>
    </w:p>
    <w:p>
      <w:pPr>
        <w:ind w:firstLine="1920" w:firstLineChars="6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2020年部门预算情况说明</w:t>
      </w:r>
    </w:p>
    <w:p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邓州市大数据管理中心（邓州市行政审批服务中心） 2020年收入总计117.71万元，支出总计117.71万元，与2019年相比，收入支出增长1.14万元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增长0.98%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主要原因是：人员经费增加</w:t>
      </w:r>
      <w:r>
        <w:rPr>
          <w:rFonts w:hint="eastAsia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邓州市大数据管理中心（邓州市行政审批服务中心）2020年收入预算117.71万元，其中：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</w:rPr>
        <w:t xml:space="preserve">117.71万元。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邓州市大数据管理中心（邓州市行政审批服务中心）2020年支出预算117.71万元，按照用途划分为：基本支出72.71万元，占年度计划的62%；项目支出45万元，占年度计划的38%。</w:t>
      </w:r>
    </w:p>
    <w:p>
      <w:pPr>
        <w:autoSpaceDE w:val="0"/>
        <w:autoSpaceDN w:val="0"/>
        <w:adjustRightInd w:val="0"/>
        <w:spacing w:before="28"/>
        <w:ind w:firstLine="707" w:firstLineChars="221"/>
        <w:jc w:val="left"/>
        <w:rPr>
          <w:rFonts w:ascii="黑体" w:hAnsi="Times New Roman" w:eastAsia="黑体" w:cs="Times New Roman"/>
          <w:kern w:val="0"/>
          <w:sz w:val="24"/>
          <w:szCs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四、财政拨款收支预算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eastAsia="zh-CN"/>
        </w:rPr>
        <w:t>总体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情况说明</w:t>
      </w:r>
    </w:p>
    <w:p>
      <w:pPr>
        <w:autoSpaceDE w:val="0"/>
        <w:autoSpaceDN w:val="0"/>
        <w:adjustRightInd w:val="0"/>
        <w:spacing w:before="160" w:line="353" w:lineRule="auto"/>
        <w:ind w:right="140" w:firstLine="707" w:firstLineChars="221"/>
        <w:rPr>
          <w:rFonts w:ascii="黑体" w:hAnsi="Times New Roman" w:eastAsia="黑体" w:cs="Times New Roman"/>
          <w:kern w:val="0"/>
          <w:sz w:val="24"/>
          <w:szCs w:val="24"/>
        </w:rPr>
      </w:pP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邓州市大数据管理中心（邓州市行政审批服务中心）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2020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年收入预算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117.71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万元，支出预算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117.71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万元，与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>2019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年相比，收入支出增长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1.14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增长0.98%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。主要原因是：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人员工资增加。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邓州市大数据管理中心（邓州市行政审批服务中心）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117.71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万元。主要用于以下方面：一般公共服务（类）支出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101.36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86 </w:t>
      </w:r>
      <w:r>
        <w:rPr>
          <w:rFonts w:ascii="Times New Roman" w:hAnsi="Times New Roman" w:eastAsia="仿宋_GB2312" w:cs="Times New Roman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8.17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7 </w:t>
      </w:r>
      <w:r>
        <w:rPr>
          <w:rFonts w:ascii="Times New Roman" w:hAnsi="Times New Roman" w:eastAsia="仿宋_GB2312" w:cs="Times New Roman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3.10 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3 </w:t>
      </w:r>
      <w:r>
        <w:rPr>
          <w:rFonts w:ascii="Times New Roman" w:hAnsi="Times New Roman" w:eastAsia="仿宋_GB2312" w:cs="Times New Roman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5.08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4 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before="158" w:line="339" w:lineRule="auto"/>
        <w:ind w:left="701" w:firstLine="5"/>
        <w:jc w:val="left"/>
        <w:rPr>
          <w:rFonts w:ascii="仿宋" w:hAnsi="Times New Roman" w:eastAsia="仿宋" w:cs="Times New Roman"/>
          <w:kern w:val="0"/>
          <w:sz w:val="24"/>
          <w:szCs w:val="24"/>
        </w:rPr>
      </w:pPr>
      <w:r>
        <w:rPr>
          <w:rFonts w:hint="eastAsia" w:ascii="黑体" w:eastAsia="黑体"/>
          <w:sz w:val="32"/>
          <w:szCs w:val="32"/>
        </w:rPr>
        <w:t>六、支出预算经济分类情况说明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before="29"/>
        <w:ind w:left="701"/>
        <w:jc w:val="left"/>
        <w:rPr>
          <w:rFonts w:ascii="仿宋" w:hAnsi="Times New Roman" w:eastAsia="仿宋" w:cs="Times New Roman"/>
          <w:kern w:val="0"/>
          <w:sz w:val="24"/>
          <w:szCs w:val="24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按照《财政部关于印发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>&lt;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支出经济分类科目改革方案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>&gt;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的</w:t>
      </w:r>
    </w:p>
    <w:p>
      <w:pPr>
        <w:autoSpaceDE w:val="0"/>
        <w:autoSpaceDN w:val="0"/>
        <w:adjustRightInd w:val="0"/>
        <w:spacing w:before="33" w:line="342" w:lineRule="auto"/>
        <w:rPr>
          <w:rFonts w:ascii="仿宋" w:hAnsi="Times New Roman" w:eastAsia="仿宋" w:cs="Times New Roman"/>
          <w:kern w:val="0"/>
          <w:sz w:val="24"/>
          <w:szCs w:val="24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通知》（财预〔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>2017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〕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>98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号）要求，从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>2018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年起全面实施支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出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经济分类科目改革，根据政府预算管理和部门预算管理的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不同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特点，分设部门预算支出经济分类科目和政府预算支出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经济分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类科目，两套科目之间保持对应关系。我中心《支出经济分类汇总表》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,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按两套经济分类科目分别反映不同资金来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源的全部预</w:t>
      </w:r>
      <w:r>
        <w:rPr>
          <w:rFonts w:ascii="仿宋" w:hAnsi="Times New Roman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</w:rPr>
        <w:t>算支出。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七、政府性基金预算支出情况说明</w:t>
      </w:r>
    </w:p>
    <w:p>
      <w:pPr>
        <w:ind w:firstLine="70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2020年“三公”经费预算为7.8万元。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与上年持平，</w:t>
      </w: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与上年持平。</w:t>
      </w:r>
    </w:p>
    <w:p>
      <w:pPr>
        <w:widowControl w:val="0"/>
        <w:numPr>
          <w:numId w:val="0"/>
        </w:numPr>
        <w:kinsoku w:val="0"/>
        <w:wordWrap/>
        <w:overflowPunct w:val="0"/>
        <w:autoSpaceDE w:val="0"/>
        <w:autoSpaceDN w:val="0"/>
        <w:adjustRightInd w:val="0"/>
        <w:snapToGrid w:val="0"/>
        <w:spacing w:before="0" w:after="0" w:line="360" w:lineRule="auto"/>
        <w:ind w:left="0" w:leftChars="0" w:right="0" w:firstLine="636" w:firstLineChars="200"/>
        <w:jc w:val="both"/>
        <w:textAlignment w:val="auto"/>
        <w:outlineLvl w:val="9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与上年持平</w:t>
      </w:r>
      <w:r>
        <w:rPr>
          <w:rFonts w:hint="eastAsia" w:ascii="仿宋_GB2312" w:hAnsi="宋体" w:eastAsia="仿宋_GB2312" w:cs="Courier New"/>
          <w:sz w:val="32"/>
          <w:szCs w:val="32"/>
        </w:rPr>
        <w:t>。公务用车运行维护费预算数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与上年持平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4.3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与上年持平。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2020年机关运行经费支出预算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5.62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没有</w:t>
      </w:r>
      <w:r>
        <w:rPr>
          <w:rFonts w:hint="eastAsia" w:ascii="仿宋_GB2312" w:eastAsia="仿宋_GB2312"/>
          <w:sz w:val="32"/>
          <w:szCs w:val="32"/>
        </w:rPr>
        <w:t>政府采购预算安排。</w:t>
      </w:r>
    </w:p>
    <w:p>
      <w:pPr>
        <w:numPr>
          <w:ilvl w:val="0"/>
          <w:numId w:val="5"/>
        </w:numPr>
        <w:ind w:firstLine="70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绩效目标设置情况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2020年暂</w:t>
      </w:r>
      <w:r>
        <w:rPr>
          <w:rFonts w:hint="eastAsia" w:ascii="仿宋_GB2312" w:eastAsia="仿宋_GB2312"/>
          <w:sz w:val="32"/>
          <w:szCs w:val="32"/>
          <w:lang w:eastAsia="zh-CN"/>
        </w:rPr>
        <w:t>未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预算绩效</w:t>
      </w:r>
      <w:r>
        <w:rPr>
          <w:rFonts w:hint="eastAsia" w:ascii="仿宋_GB2312" w:eastAsia="仿宋_GB2312"/>
          <w:sz w:val="32"/>
          <w:szCs w:val="32"/>
          <w:lang w:eastAsia="zh-CN"/>
        </w:rPr>
        <w:t>管理工作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共有车辆1辆，其中：一般公务用车1辆。单价50万元以上通用设备0台，单位价值100万元以上专用设备0台。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b/>
          <w:sz w:val="32"/>
          <w:szCs w:val="32"/>
        </w:rPr>
        <w:t>情况</w:t>
      </w:r>
    </w:p>
    <w:p>
      <w:pPr>
        <w:ind w:firstLine="701" w:firstLineChars="21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我单位负责的专项转移支付项目共有0 项。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</w:p>
    <w:p>
      <w:pPr>
        <w:ind w:firstLine="709"/>
        <w:rPr>
          <w:rFonts w:ascii="仿宋_GB2312" w:eastAsia="仿宋_GB2312"/>
          <w:b/>
          <w:sz w:val="32"/>
          <w:szCs w:val="32"/>
        </w:rPr>
      </w:pPr>
    </w:p>
    <w:p>
      <w:pPr>
        <w:ind w:firstLine="709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6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2603120">
    <w:nsid w:val="0C137A70"/>
    <w:multiLevelType w:val="singleLevel"/>
    <w:tmpl w:val="0C137A70"/>
    <w:lvl w:ilvl="0" w:tentative="1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79067313">
    <w:nsid w:val="10A23AB1"/>
    <w:multiLevelType w:val="multilevel"/>
    <w:tmpl w:val="10A23AB1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24750160">
    <w:nsid w:val="E9EEEF50"/>
    <w:multiLevelType w:val="singleLevel"/>
    <w:tmpl w:val="E9EEEF50"/>
    <w:lvl w:ilvl="0" w:tentative="1">
      <w:start w:val="1"/>
      <w:numFmt w:val="chineseCounting"/>
      <w:suff w:val="nothing"/>
      <w:lvlText w:val="（%1）"/>
      <w:lvlJc w:val="left"/>
      <w:pPr>
        <w:ind w:left="149"/>
      </w:pPr>
      <w:rPr>
        <w:rFonts w:hint="eastAsia"/>
      </w:rPr>
    </w:lvl>
  </w:abstractNum>
  <w:abstractNum w:abstractNumId="1622772993">
    <w:nsid w:val="60B98D01"/>
    <w:multiLevelType w:val="singleLevel"/>
    <w:tmpl w:val="60B98D01"/>
    <w:lvl w:ilvl="0" w:tentative="1">
      <w:start w:val="1"/>
      <w:numFmt w:val="chineseCounting"/>
      <w:suff w:val="nothing"/>
      <w:lvlText w:val="（%1）"/>
      <w:lvlJc w:val="left"/>
    </w:lvl>
  </w:abstractNum>
  <w:abstractNum w:abstractNumId="1622773155">
    <w:nsid w:val="60B98DA3"/>
    <w:multiLevelType w:val="singleLevel"/>
    <w:tmpl w:val="60B98DA3"/>
    <w:lvl w:ilvl="0" w:tentative="1">
      <w:start w:val="3"/>
      <w:numFmt w:val="chineseCounting"/>
      <w:suff w:val="nothing"/>
      <w:lvlText w:val="（%1）"/>
      <w:lvlJc w:val="left"/>
    </w:lvl>
  </w:abstractNum>
  <w:num w:numId="1">
    <w:abstractNumId w:val="279067313"/>
  </w:num>
  <w:num w:numId="2">
    <w:abstractNumId w:val="3924750160"/>
  </w:num>
  <w:num w:numId="3">
    <w:abstractNumId w:val="202603120"/>
  </w:num>
  <w:num w:numId="4">
    <w:abstractNumId w:val="1622772993"/>
  </w:num>
  <w:num w:numId="5">
    <w:abstractNumId w:val="16227731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419</Words>
  <Characters>2394</Characters>
  <Lines>19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Administrator</cp:lastModifiedBy>
  <cp:lastPrinted>2020-06-22T08:52:00Z</cp:lastPrinted>
  <dcterms:modified xsi:type="dcterms:W3CDTF">2021-06-04T03:14:08Z</dcterms:modified>
  <dc:title>邓州市2020年 大数据管理中心（行政审批服务中心）部门预算基本情况说明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