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2020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组织部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组织部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组织部2020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ajorEastAsia"/>
          <w:sz w:val="32"/>
          <w:szCs w:val="32"/>
        </w:rPr>
        <w:t>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组织部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委组织部是市委主管党建、干部、人才工作的职能部门。一是，负责研究指导全市党组织特别是党的基层组织建设，研究和制订全市干部教育规划和实施意见；主管全市干部教育工作及中青年干部培训工作；负责全市党员干部现代远程教育工作的统筹规划、协调指导工作。二是，负责乡镇、市直各单位领导班子和领导干部的调配、任免、工资、离退休等相关工作，审核办理副乡科级干部因公（私）出国（境）备案手续；办理党群口单位公务员的登记备案、年度统计。三是，负责全市知识分子工作的指导和协调工作，选拔管理市级专业技术拔尖人才并组织开展活动。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二、组织部机构设置及部门预算单位构成</w:t>
      </w:r>
    </w:p>
    <w:p>
      <w:pPr>
        <w:adjustRightInd w:val="0"/>
        <w:snapToGrid w:val="0"/>
        <w:spacing w:line="312" w:lineRule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（一）机构设置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组织部机关内设科室、单位共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个，其中内设科室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，分别是办公室、组织科（党代表联络科）、乡镇干部调配科、市直单位干部调配科、青年干部科、知工科（对外挂市知识分子工作领导小组办公室，副科级规格）、干部监督科（干部举报中心）、公务员管理科、政策研究室、干部教育科；参公事业单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个，为市党员电化教育中心（副科级），市农村党员干部培训基地（副科级）、市大学生村干部管理工作办公室（正科级）。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组织部</w:t>
      </w:r>
      <w:r>
        <w:rPr>
          <w:rFonts w:hint="eastAsia" w:ascii="仿宋_GB2312" w:eastAsia="仿宋_GB2312"/>
          <w:sz w:val="32"/>
          <w:szCs w:val="32"/>
        </w:rPr>
        <w:t>部门预算包括机关本级预算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</w:t>
      </w:r>
      <w:r>
        <w:rPr>
          <w:rFonts w:hint="eastAsia" w:ascii="仿宋_GB2312" w:eastAsia="仿宋_GB2312"/>
          <w:sz w:val="32"/>
          <w:szCs w:val="32"/>
        </w:rPr>
        <w:t>属单位预算。</w:t>
      </w:r>
    </w:p>
    <w:p>
      <w:pPr>
        <w:widowControl/>
        <w:adjustRightInd w:val="0"/>
        <w:snapToGrid w:val="0"/>
        <w:spacing w:line="312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1、邓州市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组织部</w:t>
      </w:r>
      <w:r>
        <w:rPr>
          <w:rFonts w:ascii="Times New Roman" w:hAnsi="Times New Roman" w:eastAsia="仿宋_GB2312"/>
          <w:sz w:val="32"/>
          <w:szCs w:val="32"/>
        </w:rPr>
        <w:t>本级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委组织部2020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组织部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2020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1612.39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1612.39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增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78.04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5.01%。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按市机构改革要求，原市直党工委人员17人（其中，在职5人，退休12人）的人员经费、工资等预算合并计算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adjustRightInd w:val="0"/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组织部2020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1612.39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hint="eastAsia" w:ascii="Times New Roman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1612.39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组织部2020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1612.39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  <w:lang w:eastAsia="zh-CN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464.11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28.8</w:t>
      </w:r>
      <w:r>
        <w:rPr>
          <w:rFonts w:ascii="Times New Roman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1148.28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71.2</w:t>
      </w:r>
      <w:r>
        <w:rPr>
          <w:rFonts w:ascii="Times New Roman" w:eastAsia="仿宋_GB2312"/>
          <w:sz w:val="32"/>
          <w:szCs w:val="32"/>
        </w:rPr>
        <w:t>%。</w:t>
      </w:r>
      <w:r>
        <w:rPr>
          <w:rFonts w:hint="eastAsia" w:asci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四、财政拨款收支情况说明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组织部2020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1612.39</w:t>
      </w:r>
      <w:r>
        <w:rPr>
          <w:rFonts w:hint="eastAsia" w:ascii="仿宋_GB2312" w:eastAsia="仿宋_GB2312"/>
          <w:sz w:val="32"/>
          <w:szCs w:val="32"/>
        </w:rPr>
        <w:t>万元，支出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1612.39</w:t>
      </w:r>
      <w:r>
        <w:rPr>
          <w:rFonts w:hint="eastAsia" w:ascii="仿宋_GB2312" w:eastAsia="仿宋_GB2312"/>
          <w:sz w:val="32"/>
          <w:szCs w:val="32"/>
        </w:rPr>
        <w:t>万元，与20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年相比，收入支出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增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78.04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5.01%。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按市机构改革要求，原市直党工委人员17人（其中，在职5人，退休12人）的人员经费、工资等预算合并计算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组织部2020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1612.39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/>
          <w:sz w:val="32"/>
          <w:szCs w:val="32"/>
        </w:rPr>
        <w:t>一般公共服务（类）支出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1509.88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93.64</w:t>
      </w:r>
      <w:r>
        <w:rPr>
          <w:rFonts w:hint="eastAsia" w:ascii="Times New Roman" w:hAnsi="Times New Roman" w:eastAsia="仿宋_GB2312"/>
          <w:sz w:val="32"/>
          <w:szCs w:val="32"/>
        </w:rPr>
        <w:t>%；教育（类）支出0万元，占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%，社会保障和就业（类）支出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56.62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3.51</w:t>
      </w:r>
      <w:r>
        <w:rPr>
          <w:rFonts w:hint="eastAsia" w:ascii="Times New Roman" w:hAnsi="Times New Roman" w:eastAsia="仿宋_GB2312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18.59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1.15</w:t>
      </w:r>
      <w:r>
        <w:rPr>
          <w:rFonts w:hint="eastAsia" w:ascii="Times New Roman" w:hAnsi="Times New Roman" w:eastAsia="仿宋_GB2312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27.3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1.7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六、支出预算经济分类情况说明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按照《财政部关于印发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&lt;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支出经济分类科目改革方案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&gt;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的通知》（财预〔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号）要求，从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</w:t>
      </w:r>
      <w:r>
        <w:rPr>
          <w:rFonts w:hint="eastAsia" w:ascii="黑体" w:eastAsia="黑体"/>
          <w:sz w:val="32"/>
          <w:szCs w:val="32"/>
          <w:lang w:eastAsia="zh-CN"/>
        </w:rPr>
        <w:t>预</w:t>
      </w:r>
      <w:r>
        <w:rPr>
          <w:rFonts w:hint="eastAsia" w:ascii="黑体" w:eastAsia="黑体"/>
          <w:sz w:val="32"/>
          <w:szCs w:val="32"/>
        </w:rPr>
        <w:t>算情况说明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我单位2020</w:t>
      </w:r>
      <w:r>
        <w:rPr>
          <w:rFonts w:hint="eastAsia" w:ascii="仿宋_GB2312" w:eastAsia="仿宋_GB2312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27.9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2020年“三公“经费支出预算数</w:t>
      </w:r>
      <w:r>
        <w:rPr>
          <w:rFonts w:hint="eastAsia" w:ascii="仿宋_GB2312" w:eastAsia="仿宋_GB2312"/>
          <w:sz w:val="32"/>
          <w:szCs w:val="32"/>
          <w:lang w:eastAsia="zh-CN"/>
        </w:rPr>
        <w:t>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4.9万元。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主要用于开展工作所需公务用车的燃料费、维修费、过路过桥费、保险费等支出。公务用车购置费预算数与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19年持平，均为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万元。公务用车运行维护费，预算数比上年减少0.1万元，主要原因是：</w:t>
      </w:r>
      <w:r>
        <w:rPr>
          <w:rFonts w:hint="eastAsia" w:ascii="仿宋_GB2312" w:eastAsia="仿宋_GB2312"/>
          <w:sz w:val="32"/>
          <w:szCs w:val="32"/>
        </w:rPr>
        <w:t>严格落实中央、省、市厉行节约的各项要求，严控“三公经费”开支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主要用于按规定开支的各类公务接待支出。预算数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比上年减少0.1万元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。主要原因：</w:t>
      </w:r>
      <w:r>
        <w:rPr>
          <w:rFonts w:hint="eastAsia" w:ascii="仿宋_GB2312" w:eastAsia="仿宋_GB2312"/>
          <w:sz w:val="32"/>
          <w:szCs w:val="32"/>
        </w:rPr>
        <w:t>严格执行中央八项规定，减少公务接待费。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组织部2020</w:t>
      </w:r>
      <w:r>
        <w:rPr>
          <w:rFonts w:hint="eastAsia" w:ascii="仿宋_GB2312" w:eastAsia="仿宋_GB2312"/>
          <w:sz w:val="32"/>
          <w:szCs w:val="32"/>
        </w:rPr>
        <w:t>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67.51</w:t>
      </w:r>
      <w:r>
        <w:rPr>
          <w:rFonts w:hint="eastAsia" w:ascii="仿宋_GB2312" w:eastAsia="仿宋_GB2312"/>
          <w:sz w:val="32"/>
          <w:szCs w:val="32"/>
        </w:rPr>
        <w:t>万元，主要保障机关人员机构正常运转及正常履职需要。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我单位2020</w:t>
      </w:r>
      <w:r>
        <w:rPr>
          <w:rFonts w:hint="eastAsia" w:ascii="仿宋_GB2312" w:eastAsia="仿宋_GB2312"/>
          <w:sz w:val="32"/>
          <w:szCs w:val="32"/>
        </w:rPr>
        <w:t>年无政府采购预算安排。</w:t>
      </w:r>
    </w:p>
    <w:p>
      <w:pPr>
        <w:ind w:firstLine="709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（三）绩效目标设置情况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未安排预算绩效目标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我单位暂无负责的专项转移支付项目。</w:t>
      </w:r>
    </w:p>
    <w:p>
      <w:pPr>
        <w:ind w:firstLine="70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4A5932"/>
    <w:rsid w:val="04C24CD3"/>
    <w:rsid w:val="066D0C7E"/>
    <w:rsid w:val="06BE1DED"/>
    <w:rsid w:val="07EC657B"/>
    <w:rsid w:val="0C956DB9"/>
    <w:rsid w:val="10BB1A3D"/>
    <w:rsid w:val="10D93902"/>
    <w:rsid w:val="17024C77"/>
    <w:rsid w:val="1D6544B8"/>
    <w:rsid w:val="1E1C1FAB"/>
    <w:rsid w:val="20F53F6B"/>
    <w:rsid w:val="21172D08"/>
    <w:rsid w:val="22AC43D0"/>
    <w:rsid w:val="24327BE8"/>
    <w:rsid w:val="24484ADF"/>
    <w:rsid w:val="2D550CFE"/>
    <w:rsid w:val="3168305B"/>
    <w:rsid w:val="33954D0A"/>
    <w:rsid w:val="39065879"/>
    <w:rsid w:val="3AEB3A7E"/>
    <w:rsid w:val="3B0C18C2"/>
    <w:rsid w:val="3BBC1D2C"/>
    <w:rsid w:val="3C87608A"/>
    <w:rsid w:val="423D3584"/>
    <w:rsid w:val="446778BB"/>
    <w:rsid w:val="471314C5"/>
    <w:rsid w:val="4A1137D8"/>
    <w:rsid w:val="4A183A49"/>
    <w:rsid w:val="4B17485A"/>
    <w:rsid w:val="4B901AAA"/>
    <w:rsid w:val="4C36439B"/>
    <w:rsid w:val="4DC340C1"/>
    <w:rsid w:val="4EB23847"/>
    <w:rsid w:val="585E2BE6"/>
    <w:rsid w:val="58802D5A"/>
    <w:rsid w:val="59CD76D7"/>
    <w:rsid w:val="5A8E1F02"/>
    <w:rsid w:val="5AB45193"/>
    <w:rsid w:val="5CA8687F"/>
    <w:rsid w:val="5D963B0A"/>
    <w:rsid w:val="609A5DE3"/>
    <w:rsid w:val="60AF768B"/>
    <w:rsid w:val="60D15B65"/>
    <w:rsid w:val="60D3160D"/>
    <w:rsid w:val="648876C2"/>
    <w:rsid w:val="67471495"/>
    <w:rsid w:val="696A15A2"/>
    <w:rsid w:val="6DD00BE6"/>
    <w:rsid w:val="6F9B7A32"/>
    <w:rsid w:val="705604A8"/>
    <w:rsid w:val="71317C58"/>
    <w:rsid w:val="72356867"/>
    <w:rsid w:val="72CE3402"/>
    <w:rsid w:val="734507C7"/>
    <w:rsid w:val="7701693E"/>
    <w:rsid w:val="78BD42BC"/>
    <w:rsid w:val="79D11516"/>
    <w:rsid w:val="7B5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2</TotalTime>
  <ScaleCrop>false</ScaleCrop>
  <LinksUpToDate>false</LinksUpToDate>
  <CharactersWithSpaces>2300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2021-03-23T01:12:00Z</cp:lastPrinted>
  <dcterms:modified xsi:type="dcterms:W3CDTF">2021-06-04T03:36:59Z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