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right="305"/>
        <w:jc w:val="center"/>
        <w:rPr>
          <w:rFonts w:ascii="黑体" w:eastAsia="黑体"/>
          <w:w w:val="90"/>
          <w:sz w:val="44"/>
        </w:rPr>
      </w:pPr>
      <w:r>
        <w:rPr>
          <w:rFonts w:ascii="黑体" w:eastAsia="黑体"/>
          <w:w w:val="90"/>
          <w:sz w:val="44"/>
        </w:rPr>
        <w:t xml:space="preserve">2019 </w:t>
      </w:r>
      <w:r>
        <w:rPr>
          <w:rFonts w:hint="eastAsia" w:ascii="黑体" w:eastAsia="黑体"/>
          <w:w w:val="90"/>
          <w:sz w:val="44"/>
        </w:rPr>
        <w:t>年邓州市南阳引丹灌区管理局</w:t>
      </w:r>
    </w:p>
    <w:p>
      <w:pPr>
        <w:spacing w:before="10"/>
        <w:ind w:right="305"/>
        <w:jc w:val="center"/>
        <w:rPr>
          <w:rFonts w:hint="eastAsia" w:ascii="黑体" w:eastAsia="黑体"/>
          <w:w w:val="90"/>
          <w:sz w:val="44"/>
          <w:lang w:val="en-US" w:eastAsia="zh-Hans"/>
        </w:rPr>
      </w:pPr>
      <w:r>
        <w:rPr>
          <w:rFonts w:hint="eastAsia" w:ascii="黑体" w:eastAsia="黑体"/>
          <w:w w:val="90"/>
          <w:sz w:val="44"/>
        </w:rPr>
        <w:t>部门预算</w:t>
      </w:r>
      <w:r>
        <w:rPr>
          <w:rFonts w:hint="eastAsia" w:ascii="黑体" w:eastAsia="黑体"/>
          <w:w w:val="90"/>
          <w:sz w:val="44"/>
          <w:lang w:val="en-US" w:eastAsia="zh-Hans"/>
        </w:rPr>
        <w:t>公开</w:t>
      </w:r>
    </w:p>
    <w:p>
      <w:pPr>
        <w:spacing w:before="10"/>
        <w:ind w:right="305"/>
        <w:jc w:val="center"/>
        <w:rPr>
          <w:rFonts w:hint="eastAsia" w:ascii="黑体" w:eastAsia="黑体"/>
          <w:w w:val="90"/>
          <w:sz w:val="44"/>
          <w:lang w:val="en-US" w:eastAsia="zh-Hans"/>
        </w:rPr>
      </w:pPr>
    </w:p>
    <w:p>
      <w:pPr>
        <w:tabs>
          <w:tab w:val="left" w:pos="719"/>
        </w:tabs>
        <w:ind w:right="298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目</w:t>
      </w:r>
      <w:r>
        <w:rPr>
          <w:rFonts w:ascii="黑体" w:eastAsia="黑体"/>
          <w:sz w:val="36"/>
        </w:rPr>
        <w:tab/>
      </w:r>
      <w:r>
        <w:rPr>
          <w:rFonts w:hint="eastAsia" w:ascii="黑体" w:eastAsia="黑体"/>
          <w:sz w:val="36"/>
        </w:rPr>
        <w:t>录</w:t>
      </w:r>
    </w:p>
    <w:p>
      <w:pPr>
        <w:keepNext w:val="0"/>
        <w:keepLines w:val="0"/>
        <w:pageBreakBefore w:val="0"/>
        <w:widowControl w:val="0"/>
        <w:tabs>
          <w:tab w:val="left" w:pos="719"/>
        </w:tabs>
        <w:kinsoku/>
        <w:wordWrap/>
        <w:overflowPunct/>
        <w:topLinePunct w:val="0"/>
        <w:autoSpaceDE w:val="0"/>
        <w:autoSpaceDN w:val="0"/>
        <w:bidi w:val="0"/>
        <w:spacing w:line="360" w:lineRule="auto"/>
        <w:ind w:right="298"/>
        <w:jc w:val="center"/>
        <w:textAlignment w:val="auto"/>
        <w:rPr>
          <w:rFonts w:hint="eastAsia" w:ascii="黑体" w:eastAsia="黑体"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721"/>
        </w:tabs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/>
        <w:jc w:val="left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default" w:ascii="黑体" w:eastAsia="黑体"/>
        </w:rPr>
        <w:t xml:space="preserve"> </w:t>
      </w:r>
      <w:r>
        <w:rPr>
          <w:rFonts w:hint="eastAsia" w:ascii="黑体" w:eastAsia="黑体"/>
        </w:rPr>
        <w:t>南阳引丹灌区管理局概况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/>
        <w:textAlignment w:val="auto"/>
      </w:pPr>
      <w:r>
        <w:rPr>
          <w:rFonts w:hint="eastAsia"/>
        </w:rPr>
        <w:t>一、</w:t>
      </w:r>
      <w:r>
        <w:t xml:space="preserve"> </w:t>
      </w:r>
      <w:r>
        <w:rPr>
          <w:rFonts w:hint="eastAsia"/>
        </w:rPr>
        <w:t>主要职能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/>
        <w:textAlignment w:val="auto"/>
      </w:pPr>
      <w:r>
        <w:rPr>
          <w:rFonts w:hint="eastAsia"/>
        </w:rPr>
        <w:t>二、</w:t>
      </w:r>
      <w:r>
        <w:t xml:space="preserve"> </w:t>
      </w:r>
      <w:r>
        <w:rPr>
          <w:rFonts w:hint="eastAsia"/>
        </w:rPr>
        <w:t>机构设置</w:t>
      </w:r>
      <w:r>
        <w:rPr>
          <w:rFonts w:hint="eastAsia"/>
          <w:lang w:val="en-US" w:eastAsia="zh-Hans"/>
        </w:rPr>
        <w:t>及</w:t>
      </w:r>
      <w:r>
        <w:rPr>
          <w:rFonts w:hint="eastAsia"/>
        </w:rPr>
        <w:t>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rPr>
          <w:rFonts w:hint="eastAsia" w:ascii="黑体" w:hAnsi="仿宋" w:eastAsia="黑体" w:cs="仿宋"/>
          <w:sz w:val="32"/>
          <w:szCs w:val="32"/>
          <w:lang w:val="zh-CN" w:eastAsia="zh-CN" w:bidi="ar-SA"/>
        </w:rPr>
      </w:pPr>
      <w:r>
        <w:rPr>
          <w:rFonts w:hint="eastAsia" w:ascii="黑体" w:hAnsi="仿宋" w:eastAsia="黑体" w:cs="仿宋"/>
          <w:sz w:val="32"/>
          <w:szCs w:val="32"/>
          <w:lang w:val="zh-CN" w:eastAsia="zh-CN" w:bidi="ar-SA"/>
        </w:rPr>
        <w:t xml:space="preserve">第二部分  </w:t>
      </w:r>
      <w:r>
        <w:rPr>
          <w:rFonts w:hint="eastAsia" w:ascii="黑体" w:hAnsi="仿宋" w:eastAsia="黑体" w:cs="仿宋"/>
          <w:sz w:val="32"/>
          <w:szCs w:val="32"/>
          <w:lang w:val="en-US" w:eastAsia="zh-Hans" w:bidi="ar-SA"/>
        </w:rPr>
        <w:t>邓州市</w:t>
      </w:r>
      <w:r>
        <w:rPr>
          <w:rFonts w:hint="eastAsia" w:ascii="黑体" w:hAnsi="仿宋" w:eastAsia="黑体" w:cs="仿宋"/>
          <w:sz w:val="32"/>
          <w:szCs w:val="32"/>
          <w:lang w:val="zh-CN" w:eastAsia="zh-CN" w:bidi="ar-SA"/>
        </w:rPr>
        <w:t>南阳引丹灌区管理局 2019 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rPr>
          <w:rFonts w:hint="eastAsia" w:ascii="黑体" w:hAnsi="仿宋" w:eastAsia="黑体" w:cs="仿宋"/>
          <w:sz w:val="32"/>
          <w:szCs w:val="32"/>
          <w:lang w:val="zh-CN" w:eastAsia="zh-CN" w:bidi="ar-SA"/>
        </w:rPr>
      </w:pPr>
      <w:r>
        <w:rPr>
          <w:rFonts w:hint="eastAsia" w:ascii="黑体" w:hAnsi="仿宋" w:eastAsia="黑体" w:cs="仿宋"/>
          <w:sz w:val="32"/>
          <w:szCs w:val="32"/>
          <w:lang w:val="zh-CN" w:eastAsia="zh-CN" w:bidi="ar-SA"/>
        </w:rPr>
        <w:t>第三部分 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  <w:vertAlign w:val="baseline"/>
        </w:rPr>
      </w:pPr>
      <w:r>
        <w:rPr>
          <w:rFonts w:hint="eastAsia" w:ascii="黑体" w:eastAsia="黑体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：</w:t>
      </w:r>
      <w:r>
        <w:rPr>
          <w:rFonts w:hint="eastAsia"/>
          <w:spacing w:val="-13"/>
        </w:rPr>
        <w:t>邓州市南阳引丹灌区</w:t>
      </w:r>
      <w:r>
        <w:rPr>
          <w:rFonts w:hint="eastAsia"/>
          <w:spacing w:val="-13"/>
          <w:lang w:val="en-US" w:eastAsia="zh-Hans"/>
        </w:rPr>
        <w:t>管</w:t>
      </w:r>
      <w:r>
        <w:rPr>
          <w:rFonts w:hint="eastAsia"/>
          <w:spacing w:val="-13"/>
        </w:rPr>
        <w:t>理局2019 年</w:t>
      </w:r>
      <w:r>
        <w:rPr>
          <w:rFonts w:hint="eastAsia"/>
          <w:spacing w:val="-13"/>
          <w:lang w:val="en-US" w:eastAsia="zh-Hans"/>
        </w:rPr>
        <w:t>部门</w:t>
      </w:r>
      <w:r>
        <w:rPr>
          <w:rFonts w:hint="eastAsia"/>
          <w:spacing w:val="-13"/>
        </w:rPr>
        <w:t>预算表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pacing w:val="-13"/>
        </w:rPr>
      </w:pPr>
      <w:r>
        <w:rPr>
          <w:rFonts w:hint="eastAsia"/>
          <w:spacing w:val="-13"/>
        </w:rPr>
        <w:t>部门收支总体情况表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spacing w:val="-2"/>
        </w:rPr>
        <w:t>部门收入总体情况表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spacing w:val="-2"/>
        </w:rPr>
        <w:t>部门支出总体情况表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财政拨款收支总体情况表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一般公共预算支出情况表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一般公共预算基本支出情况表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一般公共预算“三公”经费支出情况表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sectPr>
          <w:type w:val="continuous"/>
          <w:pgSz w:w="11910" w:h="16840"/>
          <w:pgMar w:top="1440" w:right="1380" w:bottom="280" w:left="16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1601"/>
        </w:tabs>
        <w:kinsoku/>
        <w:wordWrap/>
        <w:overflowPunct/>
        <w:topLinePunct w:val="0"/>
        <w:autoSpaceDE w:val="0"/>
        <w:autoSpaceDN w:val="0"/>
        <w:bidi w:val="0"/>
        <w:spacing w:line="360" w:lineRule="auto"/>
        <w:ind w:right="296"/>
        <w:jc w:val="center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ascii="黑体" w:eastAsia="黑体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1601"/>
        </w:tabs>
        <w:kinsoku/>
        <w:wordWrap/>
        <w:overflowPunct/>
        <w:topLinePunct w:val="0"/>
        <w:autoSpaceDE w:val="0"/>
        <w:autoSpaceDN w:val="0"/>
        <w:bidi w:val="0"/>
        <w:spacing w:line="360" w:lineRule="auto"/>
        <w:ind w:right="296"/>
        <w:jc w:val="center"/>
        <w:textAlignment w:val="auto"/>
        <w:rPr>
          <w:rFonts w:ascii="黑体"/>
          <w:sz w:val="33"/>
        </w:rPr>
      </w:pPr>
      <w:r>
        <w:rPr>
          <w:rFonts w:hint="eastAsia" w:ascii="黑体" w:eastAsia="黑体"/>
          <w:lang w:val="en-US" w:eastAsia="zh-Hans"/>
        </w:rPr>
        <w:t>邓州市</w:t>
      </w:r>
      <w:r>
        <w:rPr>
          <w:rFonts w:hint="eastAsia" w:ascii="黑体" w:eastAsia="黑体"/>
        </w:rPr>
        <w:t>南阳引丹灌区管理局概况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686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一、邓州市南阳引丹灌区管理局主要职责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268" w:firstLine="640"/>
        <w:textAlignment w:val="auto"/>
      </w:pPr>
      <w:r>
        <w:rPr>
          <w:rFonts w:hint="eastAsia"/>
          <w:spacing w:val="7"/>
          <w:w w:val="95"/>
        </w:rPr>
        <w:t>（</w:t>
      </w:r>
      <w:r>
        <w:rPr>
          <w:rFonts w:hint="eastAsia"/>
          <w:spacing w:val="4"/>
          <w:w w:val="95"/>
        </w:rPr>
        <w:t>一</w:t>
      </w:r>
      <w:r>
        <w:rPr>
          <w:rFonts w:hint="eastAsia"/>
          <w:spacing w:val="5"/>
          <w:w w:val="95"/>
        </w:rPr>
        <w:t>）</w:t>
      </w:r>
      <w:r>
        <w:rPr>
          <w:rFonts w:hint="eastAsia"/>
          <w:spacing w:val="3"/>
          <w:w w:val="95"/>
        </w:rPr>
        <w:t>负责国家的《水法》以及《水利工程管理条例》</w:t>
      </w:r>
      <w:r>
        <w:rPr>
          <w:spacing w:val="3"/>
          <w:w w:val="95"/>
        </w:rPr>
        <w:t xml:space="preserve"> </w:t>
      </w:r>
      <w:r>
        <w:rPr>
          <w:rFonts w:hint="eastAsia"/>
        </w:rPr>
        <w:t>等法律及配套法规在灌区的实施、监督、检查等工作。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99" w:firstLine="640"/>
        <w:textAlignment w:val="auto"/>
      </w:pPr>
      <w:r>
        <w:rPr>
          <w:rFonts w:hint="eastAsia"/>
        </w:rPr>
        <w:t>（二</w:t>
      </w:r>
      <w:r>
        <w:rPr>
          <w:rFonts w:hint="eastAsia"/>
          <w:spacing w:val="-8"/>
        </w:rPr>
        <w:t>）</w:t>
      </w:r>
      <w:r>
        <w:rPr>
          <w:rFonts w:hint="eastAsia"/>
          <w:spacing w:val="-1"/>
        </w:rPr>
        <w:t>组织制订灌区水利发展战略规划、中长期和年度</w:t>
      </w:r>
      <w:r>
        <w:rPr>
          <w:spacing w:val="-1"/>
        </w:rPr>
        <w:t xml:space="preserve"> </w:t>
      </w:r>
      <w:r>
        <w:rPr>
          <w:rFonts w:hint="eastAsia"/>
          <w:spacing w:val="-5"/>
        </w:rPr>
        <w:t>计划；组织制订灌区水利水电投资年度计划和有关整体规划。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375" w:firstLine="640"/>
        <w:textAlignment w:val="auto"/>
      </w:pPr>
      <w:r>
        <w:rPr>
          <w:rFonts w:hint="eastAsia"/>
        </w:rPr>
        <w:t>（三）统一管理灌区水资源，制订灌区水的长期供求计划、水量分配方案，并负责监督管理和组织实施。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18" w:firstLine="640"/>
        <w:jc w:val="both"/>
        <w:textAlignment w:val="auto"/>
      </w:pPr>
      <w:r>
        <w:rPr>
          <w:rFonts w:hint="eastAsia"/>
        </w:rPr>
        <w:t>（四</w:t>
      </w:r>
      <w:r>
        <w:rPr>
          <w:rFonts w:hint="eastAsia"/>
          <w:spacing w:val="-8"/>
        </w:rPr>
        <w:t>）</w:t>
      </w:r>
      <w:r>
        <w:rPr>
          <w:rFonts w:hint="eastAsia"/>
          <w:spacing w:val="-2"/>
        </w:rPr>
        <w:t>负责灌区水利工程设施的管理和保护，受市政府</w:t>
      </w:r>
      <w:r>
        <w:rPr>
          <w:rFonts w:hint="eastAsia"/>
          <w:spacing w:val="-3"/>
        </w:rPr>
        <w:t>有关水行政执法部门的委托，查处灌区水事案件工作；负责</w:t>
      </w:r>
      <w:r>
        <w:rPr>
          <w:rFonts w:hint="eastAsia"/>
          <w:spacing w:val="-2"/>
        </w:rPr>
        <w:t>国家关于水费的计收政策在灌区的实施工作；负责灌区水资</w:t>
      </w:r>
      <w:r>
        <w:rPr>
          <w:rFonts w:hint="eastAsia"/>
        </w:rPr>
        <w:t>源的综合开发利用工作。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</w:pPr>
      <w:r>
        <w:rPr>
          <w:rFonts w:hint="eastAsia"/>
        </w:rPr>
        <w:t>（五）做好灌区的防汛和抗旱工作。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374" w:firstLine="640"/>
        <w:textAlignment w:val="auto"/>
      </w:pPr>
      <w:r>
        <w:rPr>
          <w:rFonts w:hint="eastAsia"/>
        </w:rPr>
        <w:t>（六）受市政府委托，负责协调与湖北、淅川、新野的有关灌区事宜。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  <w:rPr>
          <w:sz w:val="33"/>
        </w:rPr>
      </w:pPr>
      <w:r>
        <w:rPr>
          <w:rFonts w:hint="eastAsia"/>
        </w:rPr>
        <w:t>（七）承办市政府及上级主管部门交办的其它工作。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</w:rPr>
        <w:t>邓</w:t>
      </w:r>
      <w:r>
        <w:rPr>
          <w:rFonts w:hint="eastAsia" w:ascii="黑体" w:eastAsia="黑体"/>
          <w:b w:val="0"/>
          <w:bCs w:val="0"/>
        </w:rPr>
        <w:t>州市</w:t>
      </w:r>
      <w:r>
        <w:rPr>
          <w:rFonts w:hint="eastAsia" w:ascii="黑体" w:eastAsia="黑体"/>
        </w:rPr>
        <w:t>南阳引丹灌区管理局机构设置</w:t>
      </w:r>
      <w:r>
        <w:rPr>
          <w:rFonts w:hint="eastAsia" w:ascii="黑体" w:eastAsia="黑体"/>
          <w:lang w:val="en-US" w:eastAsia="zh-Hans"/>
        </w:rPr>
        <w:t>及</w:t>
      </w:r>
      <w:r>
        <w:rPr>
          <w:rFonts w:hint="eastAsia" w:ascii="黑体" w:eastAsia="黑体"/>
        </w:rPr>
        <w:t>部门预算单位</w:t>
      </w:r>
      <w:r>
        <w:rPr>
          <w:rFonts w:hint="eastAsia" w:ascii="黑体" w:eastAsia="黑体"/>
          <w:b w:val="0"/>
          <w:bCs w:val="0"/>
        </w:rPr>
        <w:t>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18" w:firstLine="566"/>
        <w:jc w:val="both"/>
        <w:textAlignment w:val="auto"/>
        <w:rPr>
          <w:rFonts w:hint="eastAsia"/>
          <w:spacing w:val="-3"/>
        </w:rPr>
      </w:pPr>
      <w:r>
        <w:rPr>
          <w:rFonts w:hint="default"/>
          <w:spacing w:val="-3"/>
        </w:rPr>
        <w:t>（—）</w:t>
      </w:r>
      <w:r>
        <w:rPr>
          <w:rFonts w:hint="eastAsia"/>
          <w:spacing w:val="-3"/>
          <w:lang w:val="en-US" w:eastAsia="zh-Hans"/>
        </w:rPr>
        <w:t>机构设置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18" w:firstLine="566"/>
        <w:jc w:val="both"/>
        <w:textAlignment w:val="auto"/>
        <w:rPr>
          <w:rFonts w:ascii="黑体" w:eastAsia="黑体"/>
        </w:rPr>
      </w:pPr>
      <w:r>
        <w:rPr>
          <w:rFonts w:hint="eastAsia"/>
          <w:spacing w:val="-3"/>
        </w:rPr>
        <w:t>南阳引丹灌区管理局规格为正处级，内设</w:t>
      </w:r>
      <w:r>
        <w:rPr>
          <w:spacing w:val="-3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rPr>
          <w:rFonts w:hint="eastAsia"/>
          <w:spacing w:val="-13"/>
        </w:rPr>
        <w:t>个科室</w:t>
      </w:r>
      <w:r>
        <w:rPr>
          <w:rFonts w:hint="eastAsia"/>
          <w:spacing w:val="-13"/>
          <w:lang w:val="en-US" w:eastAsia="zh-Hans"/>
        </w:rPr>
        <w:t>包括</w:t>
      </w:r>
      <w:r>
        <w:rPr>
          <w:rFonts w:hint="eastAsia"/>
          <w:spacing w:val="-13"/>
        </w:rPr>
        <w:t>：党</w:t>
      </w:r>
      <w:r>
        <w:rPr>
          <w:rFonts w:hint="eastAsia"/>
          <w:spacing w:val="-3"/>
        </w:rPr>
        <w:t>委办公室、办公室、纪检会</w:t>
      </w:r>
      <w:r>
        <w:rPr>
          <w:rFonts w:hint="eastAsia"/>
        </w:rPr>
        <w:t>（监察室</w:t>
      </w:r>
      <w:r>
        <w:rPr>
          <w:rFonts w:hint="eastAsia"/>
          <w:spacing w:val="-3"/>
        </w:rPr>
        <w:t>）</w:t>
      </w:r>
      <w:r>
        <w:rPr>
          <w:rFonts w:hint="eastAsia"/>
          <w:spacing w:val="-2"/>
        </w:rPr>
        <w:t>、人事科、老干部管</w:t>
      </w:r>
      <w:r>
        <w:rPr>
          <w:rFonts w:hint="eastAsia"/>
          <w:spacing w:val="-4"/>
        </w:rPr>
        <w:t>理科、财务审计科、灌溉管理科、工程管理科、综合经营管</w:t>
      </w:r>
      <w:r>
        <w:rPr>
          <w:rFonts w:hint="eastAsia"/>
          <w:spacing w:val="-16"/>
        </w:rPr>
        <w:t>理科</w:t>
      </w:r>
      <w:r>
        <w:rPr>
          <w:rFonts w:hint="default"/>
          <w:spacing w:val="-16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18" w:firstLine="566"/>
        <w:jc w:val="both"/>
        <w:textAlignment w:val="auto"/>
        <w:rPr>
          <w:rFonts w:hint="default"/>
          <w:spacing w:val="-3"/>
        </w:rPr>
      </w:pPr>
      <w:r>
        <w:rPr>
          <w:rFonts w:hint="default"/>
          <w:spacing w:val="-3"/>
        </w:rPr>
        <w:t>（</w:t>
      </w:r>
      <w:r>
        <w:rPr>
          <w:rFonts w:hint="eastAsia"/>
          <w:spacing w:val="-3"/>
          <w:lang w:val="en-US" w:eastAsia="zh-Hans"/>
        </w:rPr>
        <w:t>二</w:t>
      </w:r>
      <w:r>
        <w:rPr>
          <w:rFonts w:hint="default"/>
          <w:spacing w:val="-3"/>
        </w:rPr>
        <w:t>）</w:t>
      </w:r>
      <w:r>
        <w:rPr>
          <w:rFonts w:hint="eastAsia"/>
          <w:spacing w:val="-3"/>
        </w:rPr>
        <w:t>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23" w:firstLine="566"/>
        <w:textAlignment w:val="auto"/>
      </w:pPr>
      <w:r>
        <w:rPr>
          <w:rFonts w:hint="eastAsia"/>
        </w:rPr>
        <w:t>南阳引丹灌区管理局部门预算包括局机关本级预算和局属单位预算。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</w:pPr>
      <w:r>
        <w:t>1</w:t>
      </w:r>
      <w:r>
        <w:rPr>
          <w:rFonts w:hint="eastAsia"/>
        </w:rPr>
        <w:t>、南阳引丹灌区管理局本级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</w:pPr>
      <w:r>
        <w:rPr>
          <w:w w:val="95"/>
        </w:rPr>
        <w:t>2</w:t>
      </w:r>
      <w:r>
        <w:rPr>
          <w:rFonts w:hint="eastAsia"/>
          <w:w w:val="95"/>
        </w:rPr>
        <w:t>、南阳引丹灌区灌溉管理处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</w:pPr>
      <w:r>
        <w:rPr>
          <w:w w:val="95"/>
        </w:rPr>
        <w:t>3</w:t>
      </w:r>
      <w:r>
        <w:rPr>
          <w:rFonts w:hint="eastAsia"/>
          <w:w w:val="95"/>
        </w:rPr>
        <w:t>、南阳引丹灌区陶岔管理处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rPr>
          <w:sz w:val="4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 w:right="1050" w:hanging="75"/>
        <w:jc w:val="center"/>
        <w:textAlignment w:val="auto"/>
        <w:rPr>
          <w:rFonts w:hint="eastAsia" w:ascii="黑体" w:eastAsia="黑体"/>
          <w:spacing w:val="-8"/>
        </w:rPr>
      </w:pPr>
      <w:r>
        <w:rPr>
          <w:rFonts w:hint="eastAsia" w:ascii="黑体" w:eastAsia="黑体"/>
          <w:spacing w:val="-8"/>
        </w:rPr>
        <w:t xml:space="preserve">第二部分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28" w:leftChars="0" w:right="1050" w:rightChars="0" w:hanging="75" w:firstLineChars="0"/>
        <w:jc w:val="center"/>
        <w:textAlignment w:val="auto"/>
        <w:outlineLvl w:val="9"/>
        <w:rPr>
          <w:rFonts w:ascii="黑体" w:eastAsia="黑体"/>
          <w:spacing w:val="-11"/>
        </w:rPr>
      </w:pPr>
      <w:r>
        <w:rPr>
          <w:rFonts w:hint="eastAsia" w:ascii="黑体" w:eastAsia="黑体"/>
          <w:spacing w:val="-8"/>
        </w:rPr>
        <w:t xml:space="preserve"> </w:t>
      </w:r>
      <w:r>
        <w:rPr>
          <w:rFonts w:hint="eastAsia" w:ascii="黑体" w:eastAsia="黑体"/>
          <w:spacing w:val="-8"/>
          <w:lang w:val="en-US" w:eastAsia="zh-Hans"/>
        </w:rPr>
        <w:t>邓州市</w:t>
      </w:r>
      <w:r>
        <w:rPr>
          <w:rFonts w:hint="eastAsia" w:ascii="黑体" w:eastAsia="黑体"/>
          <w:spacing w:val="-8"/>
        </w:rPr>
        <w:t>南阳引丹灌区管理局</w:t>
      </w:r>
      <w:r>
        <w:rPr>
          <w:rFonts w:ascii="黑体" w:eastAsia="黑体"/>
          <w:spacing w:val="-8"/>
        </w:rPr>
        <w:t xml:space="preserve"> </w:t>
      </w:r>
      <w:r>
        <w:rPr>
          <w:rFonts w:ascii="黑体" w:eastAsia="黑体"/>
        </w:rPr>
        <w:t>2019</w:t>
      </w:r>
      <w:r>
        <w:rPr>
          <w:rFonts w:ascii="黑体" w:eastAsia="黑体"/>
          <w:spacing w:val="-11"/>
        </w:rPr>
        <w:t xml:space="preserve"> </w:t>
      </w:r>
      <w:r>
        <w:rPr>
          <w:rFonts w:hint="eastAsia" w:ascii="黑体" w:eastAsia="黑体"/>
          <w:spacing w:val="-11"/>
        </w:rPr>
        <w:t>年部门预算情况说明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28" w:leftChars="0" w:right="1050" w:rightChars="0" w:hanging="75" w:firstLineChars="0"/>
        <w:textAlignment w:val="auto"/>
        <w:outlineLvl w:val="9"/>
        <w:rPr>
          <w:rFonts w:ascii="黑体" w:eastAsia="黑体"/>
        </w:rPr>
      </w:pPr>
      <w:r>
        <w:rPr>
          <w:rFonts w:hint="eastAsia" w:ascii="黑体" w:eastAsia="黑体"/>
        </w:rPr>
        <w:t>一、收入支出预算总体情况说明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/>
        </w:rPr>
        <w:t>邓州市南阳引丹灌区管理局</w:t>
      </w:r>
      <w:r>
        <w:t>2019</w:t>
      </w:r>
      <w:r>
        <w:rPr>
          <w:spacing w:val="-30"/>
        </w:rPr>
        <w:t xml:space="preserve"> </w:t>
      </w:r>
      <w:r>
        <w:rPr>
          <w:rFonts w:hint="eastAsia"/>
          <w:spacing w:val="-30"/>
        </w:rPr>
        <w:t>年收入总计</w:t>
      </w:r>
      <w:r>
        <w:rPr>
          <w:spacing w:val="-30"/>
        </w:rPr>
        <w:t xml:space="preserve"> </w:t>
      </w:r>
      <w:r>
        <w:t>1438.84</w:t>
      </w:r>
      <w:r>
        <w:rPr>
          <w:spacing w:val="-42"/>
        </w:rPr>
        <w:t xml:space="preserve"> </w:t>
      </w:r>
      <w:r>
        <w:rPr>
          <w:rFonts w:hint="eastAsia"/>
          <w:spacing w:val="-42"/>
        </w:rPr>
        <w:t>万元，支出总计</w:t>
      </w:r>
      <w:r>
        <w:rPr>
          <w:spacing w:val="-42"/>
        </w:rPr>
        <w:t xml:space="preserve"> </w:t>
      </w:r>
      <w:r>
        <w:t>1438.84</w:t>
      </w:r>
      <w:r>
        <w:rPr>
          <w:spacing w:val="-26"/>
        </w:rPr>
        <w:t xml:space="preserve"> </w:t>
      </w:r>
      <w:r>
        <w:rPr>
          <w:rFonts w:hint="eastAsia"/>
          <w:spacing w:val="-26"/>
        </w:rPr>
        <w:t>万元，</w:t>
      </w:r>
      <w:r>
        <w:rPr>
          <w:rFonts w:hint="eastAsia"/>
          <w:spacing w:val="-41"/>
        </w:rPr>
        <w:t>与</w:t>
      </w:r>
      <w:r>
        <w:rPr>
          <w:spacing w:val="-41"/>
        </w:rPr>
        <w:t xml:space="preserve"> </w:t>
      </w:r>
      <w:r>
        <w:t>2018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年相比，收入支出增长</w:t>
      </w:r>
      <w:r>
        <w:rPr>
          <w:spacing w:val="-16"/>
        </w:rPr>
        <w:t xml:space="preserve"> </w:t>
      </w:r>
      <w:r>
        <w:t>90.99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万元。主要原因是：人员工资调整。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686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二、收入预算</w:t>
      </w:r>
      <w:r>
        <w:rPr>
          <w:rFonts w:hint="eastAsia" w:ascii="黑体" w:eastAsia="黑体"/>
          <w:lang w:val="en-US" w:eastAsia="zh-Hans"/>
        </w:rPr>
        <w:t>总体情况</w:t>
      </w:r>
      <w:r>
        <w:rPr>
          <w:rFonts w:hint="eastAsia" w:ascii="黑体" w:eastAsia="黑体"/>
        </w:rPr>
        <w:t>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/>
        </w:rPr>
        <w:t>邓州市南阳引丹灌区管理局</w:t>
      </w:r>
      <w:r>
        <w:t>2019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年收入预算</w:t>
      </w:r>
      <w:r>
        <w:rPr>
          <w:spacing w:val="-10"/>
        </w:rPr>
        <w:t xml:space="preserve"> </w:t>
      </w:r>
      <w:r>
        <w:t>1438.84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万元，其中：一般公共预算</w:t>
      </w:r>
      <w:r>
        <w:rPr>
          <w:rFonts w:hint="eastAsia"/>
          <w:spacing w:val="-28"/>
        </w:rPr>
        <w:t>收入</w:t>
      </w:r>
      <w:r>
        <w:rPr>
          <w:spacing w:val="-28"/>
        </w:rPr>
        <w:t xml:space="preserve"> </w:t>
      </w:r>
      <w:r>
        <w:t>1438.84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万元，政府性基金收入</w:t>
      </w:r>
      <w:r>
        <w:rPr>
          <w:spacing w:val="-16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万元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三、支出预算</w:t>
      </w:r>
      <w:r>
        <w:rPr>
          <w:rFonts w:hint="eastAsia" w:ascii="黑体" w:eastAsia="黑体"/>
          <w:lang w:val="en-US" w:eastAsia="zh-Hans"/>
        </w:rPr>
        <w:t>总体情况</w:t>
      </w:r>
      <w:r>
        <w:rPr>
          <w:rFonts w:hint="eastAsia" w:ascii="黑体" w:eastAsia="黑体"/>
        </w:rPr>
        <w:t>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right="419" w:firstLine="640" w:firstLineChars="200"/>
        <w:jc w:val="left"/>
        <w:textAlignment w:val="auto"/>
        <w:rPr>
          <w:rFonts w:hint="eastAsia" w:ascii="黑体" w:eastAsia="黑体"/>
        </w:rPr>
      </w:pPr>
      <w:r>
        <w:rPr>
          <w:rFonts w:hint="eastAsia"/>
        </w:rPr>
        <w:t>邓州市南阳引丹灌区管理局</w:t>
      </w:r>
      <w:r>
        <w:t>2019</w:t>
      </w:r>
      <w:r>
        <w:rPr>
          <w:rFonts w:hint="eastAsia"/>
          <w:spacing w:val="-11"/>
        </w:rPr>
        <w:t>年支出</w:t>
      </w:r>
      <w:r>
        <w:rPr>
          <w:rFonts w:hint="eastAsia"/>
          <w:spacing w:val="-11"/>
          <w:lang w:val="en-US" w:eastAsia="zh-Hans"/>
        </w:rPr>
        <w:t>合计</w:t>
      </w:r>
      <w:r>
        <w:t>1438.84</w:t>
      </w:r>
      <w:r>
        <w:rPr>
          <w:rFonts w:hint="eastAsia"/>
          <w:spacing w:val="-6"/>
        </w:rPr>
        <w:t>万元，按照用途划分为：基</w:t>
      </w:r>
      <w:r>
        <w:rPr>
          <w:rFonts w:hint="eastAsia"/>
          <w:spacing w:val="-21"/>
        </w:rPr>
        <w:t>本支出</w:t>
      </w:r>
      <w:r>
        <w:rPr>
          <w:spacing w:val="-21"/>
        </w:rPr>
        <w:t xml:space="preserve"> </w:t>
      </w:r>
      <w:r>
        <w:t>1418.84</w:t>
      </w:r>
      <w:r>
        <w:rPr>
          <w:spacing w:val="-21"/>
        </w:rPr>
        <w:t xml:space="preserve"> </w:t>
      </w:r>
      <w:r>
        <w:rPr>
          <w:rFonts w:hint="eastAsia"/>
          <w:spacing w:val="-21"/>
        </w:rPr>
        <w:t>万元，占年度计划的</w:t>
      </w:r>
      <w:r>
        <w:rPr>
          <w:spacing w:val="-21"/>
        </w:rPr>
        <w:t xml:space="preserve"> </w:t>
      </w:r>
      <w:r>
        <w:rPr>
          <w:spacing w:val="-9"/>
        </w:rPr>
        <w:t>98.6</w:t>
      </w:r>
      <w:r>
        <w:rPr>
          <w:spacing w:val="-15"/>
        </w:rPr>
        <w:t>%</w:t>
      </w:r>
      <w:r>
        <w:rPr>
          <w:rFonts w:hint="eastAsia"/>
          <w:spacing w:val="-15"/>
        </w:rPr>
        <w:t>；项目支出</w:t>
      </w:r>
      <w:r>
        <w:rPr>
          <w:spacing w:val="-15"/>
        </w:rPr>
        <w:t xml:space="preserve"> </w:t>
      </w:r>
      <w:r>
        <w:t>20</w:t>
      </w:r>
      <w:r>
        <w:rPr>
          <w:spacing w:val="-42"/>
        </w:rPr>
        <w:t xml:space="preserve"> </w:t>
      </w:r>
      <w:r>
        <w:rPr>
          <w:rFonts w:hint="eastAsia"/>
          <w:spacing w:val="-42"/>
        </w:rPr>
        <w:t>万</w:t>
      </w:r>
      <w:r>
        <w:rPr>
          <w:rFonts w:hint="eastAsia"/>
        </w:rPr>
        <w:t>元，占年度计划的</w:t>
      </w:r>
      <w:r>
        <w:t xml:space="preserve"> 1.4%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四、财政拨款收入支出预算总体情况说明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16" w:firstLineChars="200"/>
        <w:textAlignment w:val="auto"/>
        <w:rPr>
          <w:rFonts w:hint="eastAsia" w:ascii="黑体" w:eastAsia="黑体"/>
          <w:highlight w:val="none"/>
        </w:rPr>
      </w:pPr>
      <w:r>
        <w:rPr>
          <w:rFonts w:hint="eastAsia"/>
          <w:spacing w:val="-6"/>
          <w:highlight w:val="none"/>
        </w:rPr>
        <w:t>南阳引丹灌区管理局2019年财政拨款收入预算1418.84万元，支出预算1418.84万元。与上年相比增加70.99万元，增加5.26%，主要原因是： 调资、增资和人员变动</w:t>
      </w:r>
      <w:r>
        <w:rPr>
          <w:rFonts w:hint="default"/>
          <w:spacing w:val="-6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  <w:rPr>
          <w:rFonts w:ascii="黑体" w:eastAsia="黑体"/>
        </w:rPr>
      </w:pPr>
      <w:r>
        <w:rPr>
          <w:rFonts w:hint="eastAsia" w:ascii="黑体" w:eastAsia="黑体"/>
          <w:lang w:val="en-US" w:eastAsia="zh-Hans"/>
        </w:rPr>
        <w:t>五</w:t>
      </w:r>
      <w:r>
        <w:rPr>
          <w:rFonts w:hint="eastAsia" w:ascii="黑体" w:eastAsia="黑体"/>
        </w:rPr>
        <w:t>、一般公共预算支出预算情况说明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邓州市南阳引丹灌区管理局</w:t>
      </w:r>
      <w:r>
        <w:rPr>
          <w:rFonts w:ascii="Times New Roman" w:eastAsia="Times New Roman"/>
        </w:rPr>
        <w:t xml:space="preserve">2019 </w:t>
      </w:r>
      <w:r>
        <w:rPr>
          <w:rFonts w:hint="eastAsia"/>
        </w:rPr>
        <w:t>年一般公共预算支出年初预算为</w:t>
      </w:r>
      <w:r>
        <w:t xml:space="preserve"> </w:t>
      </w:r>
      <w:r>
        <w:rPr>
          <w:rFonts w:ascii="Times New Roman" w:eastAsia="Times New Roman"/>
        </w:rPr>
        <w:t xml:space="preserve">1438.84 </w:t>
      </w:r>
      <w:r>
        <w:rPr>
          <w:rFonts w:hint="eastAsia"/>
        </w:rPr>
        <w:t>万元。主</w:t>
      </w:r>
      <w:r>
        <w:rPr>
          <w:rFonts w:hint="eastAsia"/>
          <w:spacing w:val="-2"/>
        </w:rPr>
        <w:t>要用于以下方面：社会保障和就业</w:t>
      </w:r>
      <w:r>
        <w:rPr>
          <w:rFonts w:hint="eastAsia"/>
          <w:spacing w:val="-28"/>
        </w:rPr>
        <w:t>支出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 xml:space="preserve">259 </w:t>
      </w:r>
      <w:r>
        <w:rPr>
          <w:rFonts w:hint="eastAsia"/>
          <w:spacing w:val="-1"/>
        </w:rPr>
        <w:t>万元，占</w:t>
      </w:r>
      <w:r>
        <w:rPr>
          <w:rFonts w:ascii="Times New Roman" w:eastAsia="Times New Roman"/>
          <w:spacing w:val="-14"/>
        </w:rPr>
        <w:t>18%</w:t>
      </w:r>
      <w:r>
        <w:rPr>
          <w:rFonts w:hint="default" w:ascii="Times New Roman"/>
          <w:spacing w:val="-10"/>
        </w:rPr>
        <w:t>；</w:t>
      </w:r>
      <w:r>
        <w:rPr>
          <w:rFonts w:hint="eastAsia"/>
          <w:spacing w:val="-10"/>
        </w:rPr>
        <w:t>医疗卫生与计划生育</w:t>
      </w:r>
      <w:r>
        <w:rPr>
          <w:rFonts w:hint="eastAsia"/>
          <w:spacing w:val="-27"/>
        </w:rPr>
        <w:t>支出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100.77 </w:t>
      </w:r>
      <w:r>
        <w:rPr>
          <w:rFonts w:hint="eastAsia"/>
          <w:spacing w:val="-29"/>
        </w:rPr>
        <w:t>万元，占</w:t>
      </w:r>
      <w:r>
        <w:rPr>
          <w:spacing w:val="-29"/>
        </w:rPr>
        <w:t xml:space="preserve"> </w:t>
      </w:r>
      <w:r>
        <w:rPr>
          <w:rFonts w:ascii="Times New Roman" w:eastAsia="Times New Roman"/>
        </w:rPr>
        <w:t>7%</w:t>
      </w:r>
      <w:r>
        <w:rPr>
          <w:rFonts w:hint="default" w:ascii="Times New Roman"/>
        </w:rPr>
        <w:t>；</w:t>
      </w:r>
      <w:r>
        <w:rPr>
          <w:rFonts w:hint="eastAsia"/>
          <w:spacing w:val="-18"/>
        </w:rPr>
        <w:t>住房保障</w:t>
      </w:r>
      <w:r>
        <w:rPr>
          <w:rFonts w:hint="eastAsia"/>
          <w:spacing w:val="-27"/>
        </w:rPr>
        <w:t>支出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83.77 </w:t>
      </w:r>
      <w:r>
        <w:rPr>
          <w:rFonts w:hint="eastAsia"/>
          <w:spacing w:val="-32"/>
        </w:rPr>
        <w:t>万元，占</w:t>
      </w:r>
      <w:r>
        <w:rPr>
          <w:spacing w:val="-32"/>
        </w:rPr>
        <w:t xml:space="preserve"> </w:t>
      </w:r>
      <w:r>
        <w:rPr>
          <w:rFonts w:ascii="Times New Roman" w:eastAsia="Times New Roman"/>
          <w:spacing w:val="-15"/>
        </w:rPr>
        <w:t>5.8%</w:t>
      </w:r>
      <w:r>
        <w:rPr>
          <w:rFonts w:hint="default" w:ascii="Times New Roman"/>
          <w:spacing w:val="-16"/>
        </w:rPr>
        <w:t>；</w:t>
      </w:r>
      <w:r>
        <w:rPr>
          <w:rFonts w:hint="eastAsia"/>
          <w:spacing w:val="-16"/>
        </w:rPr>
        <w:t>农林水事务</w:t>
      </w:r>
      <w:r>
        <w:rPr>
          <w:rFonts w:hint="eastAsia"/>
          <w:spacing w:val="-27"/>
        </w:rPr>
        <w:t>支出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995.3 </w:t>
      </w:r>
      <w:r>
        <w:rPr>
          <w:rFonts w:hint="eastAsia" w:ascii="Times New Roman" w:eastAsia="宋体"/>
        </w:rPr>
        <w:t>万元，</w:t>
      </w:r>
      <w:r>
        <w:rPr>
          <w:rFonts w:hint="eastAsia"/>
          <w:spacing w:val="-40"/>
        </w:rPr>
        <w:t>占</w:t>
      </w:r>
      <w:r>
        <w:rPr>
          <w:spacing w:val="-40"/>
        </w:rPr>
        <w:t xml:space="preserve"> </w:t>
      </w:r>
      <w:r>
        <w:rPr>
          <w:rFonts w:ascii="Times New Roman" w:eastAsia="Times New Roman"/>
        </w:rPr>
        <w:t>69.2%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六、支出预算经济分类情况说明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  <w:rPr>
          <w:rFonts w:ascii="黑体" w:eastAsia="黑体"/>
        </w:rPr>
      </w:pPr>
      <w:r>
        <w:rPr>
          <w:rFonts w:hint="eastAsia" w:ascii="黑体" w:eastAsia="黑体"/>
          <w:lang w:val="en-US" w:eastAsia="zh-Hans"/>
        </w:rPr>
        <w:t>七</w:t>
      </w:r>
      <w:r>
        <w:rPr>
          <w:rFonts w:hint="eastAsia" w:ascii="黑体" w:eastAsia="黑体"/>
        </w:rPr>
        <w:t>、政府性基金预算支出情况说明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jc w:val="left"/>
        <w:textAlignment w:val="auto"/>
      </w:pPr>
      <w:r>
        <w:rPr>
          <w:rFonts w:hint="eastAsia"/>
        </w:rPr>
        <w:t>邓州市南阳引丹灌区管理局2019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年没有使用政府性基金预算拨款安排的支出。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61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Hans"/>
        </w:rPr>
        <w:t>八</w:t>
      </w:r>
      <w:r>
        <w:rPr>
          <w:rFonts w:hint="eastAsia" w:ascii="黑体" w:hAnsi="黑体" w:eastAsia="黑体"/>
        </w:rPr>
        <w:t>、“三公”经费支出预算情况说明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邓州市南阳引丹灌区管理局</w:t>
      </w:r>
      <w:r>
        <w:t xml:space="preserve">2019 </w:t>
      </w:r>
      <w:r>
        <w:rPr>
          <w:rFonts w:hint="eastAsia"/>
        </w:rPr>
        <w:t>年“三公”经费预算为</w:t>
      </w:r>
      <w:r>
        <w:t xml:space="preserve"> 21.35 </w:t>
      </w:r>
      <w:r>
        <w:rPr>
          <w:rFonts w:hint="eastAsia"/>
        </w:rPr>
        <w:t>万元。比</w:t>
      </w:r>
      <w:r>
        <w:t xml:space="preserve"> 2018 </w:t>
      </w:r>
      <w:r>
        <w:rPr>
          <w:rFonts w:hint="eastAsia"/>
        </w:rPr>
        <w:t>年减少</w:t>
      </w:r>
      <w:r>
        <w:t xml:space="preserve"> 2.25 </w:t>
      </w:r>
      <w:r>
        <w:rPr>
          <w:rFonts w:hint="eastAsia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640" w:firstLineChars="200"/>
        <w:jc w:val="both"/>
        <w:textAlignment w:val="auto"/>
      </w:pPr>
      <w:r>
        <w:rPr>
          <w:rFonts w:hint="eastAsia"/>
        </w:rPr>
        <w:t>具体支出情况如下：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因公出国（境）费</w:t>
      </w:r>
      <w:r>
        <w:t xml:space="preserve"> 0 </w:t>
      </w:r>
      <w:r>
        <w:rPr>
          <w:rFonts w:hint="eastAsia"/>
        </w:rPr>
        <w:t>万元，与上年</w:t>
      </w:r>
      <w:r>
        <w:rPr>
          <w:rFonts w:hint="eastAsia"/>
          <w:lang w:val="en-US" w:eastAsia="zh-Hans"/>
        </w:rPr>
        <w:t>持平</w:t>
      </w:r>
      <w:r>
        <w:rPr>
          <w:rFonts w:hint="default"/>
          <w:lang w:eastAsia="zh-Hans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公务用车购置费及维护费</w:t>
      </w:r>
      <w:r>
        <w:rPr>
          <w:rFonts w:hint="default"/>
        </w:rPr>
        <w:t>7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</w:rPr>
        <w:t>万元，其中，公务用车购置费</w:t>
      </w:r>
      <w:r>
        <w:rPr>
          <w:rFonts w:hint="default"/>
        </w:rPr>
        <w:t>0</w:t>
      </w:r>
      <w:r>
        <w:rPr>
          <w:rFonts w:hint="eastAsia"/>
        </w:rPr>
        <w:t>万元；公务用车维护费</w:t>
      </w:r>
      <w:r>
        <w:rPr>
          <w:rFonts w:hint="default"/>
        </w:rPr>
        <w:t>7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</w:rPr>
        <w:t>万元。主要用于开展工作所需公务用车的燃料费、维修费、过路过桥费、保险费等支出。公务用车购置费预算数与 2018 年持平，均为0万元。</w:t>
      </w:r>
      <w:r>
        <w:rPr>
          <w:rFonts w:hint="eastAsia"/>
          <w:highlight w:val="none"/>
        </w:rPr>
        <w:t>公务用车运行维护费预算数</w:t>
      </w:r>
      <w:r>
        <w:rPr>
          <w:rFonts w:hint="eastAsia"/>
          <w:highlight w:val="none"/>
          <w:lang w:val="en-US" w:eastAsia="zh-Hans"/>
        </w:rPr>
        <w:t>与</w:t>
      </w:r>
      <w:r>
        <w:rPr>
          <w:rFonts w:hint="eastAsia"/>
          <w:highlight w:val="none"/>
        </w:rPr>
        <w:t>2018年</w:t>
      </w:r>
      <w:r>
        <w:rPr>
          <w:rFonts w:hint="eastAsia"/>
          <w:highlight w:val="none"/>
          <w:lang w:val="en-US" w:eastAsia="zh-Hans"/>
        </w:rPr>
        <w:t>相比持平</w:t>
      </w:r>
      <w:r>
        <w:rPr>
          <w:rFonts w:hint="eastAsia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</w:pPr>
      <w:r>
        <w:rPr>
          <w:rFonts w:hint="eastAsia"/>
        </w:rPr>
        <w:t>（三</w:t>
      </w:r>
      <w:r>
        <w:rPr>
          <w:rFonts w:hint="eastAsia"/>
          <w:spacing w:val="-121"/>
        </w:rPr>
        <w:t>）</w:t>
      </w:r>
      <w:r>
        <w:rPr>
          <w:rFonts w:hint="eastAsia"/>
          <w:spacing w:val="-14"/>
        </w:rPr>
        <w:t>公务接待费</w:t>
      </w:r>
      <w:r>
        <w:rPr>
          <w:spacing w:val="-14"/>
        </w:rPr>
        <w:t xml:space="preserve"> </w:t>
      </w:r>
      <w:r>
        <w:t>13.75</w:t>
      </w:r>
      <w:r>
        <w:rPr>
          <w:spacing w:val="-30"/>
        </w:rPr>
        <w:t xml:space="preserve"> </w:t>
      </w:r>
      <w:r>
        <w:rPr>
          <w:rFonts w:hint="eastAsia"/>
          <w:spacing w:val="-30"/>
        </w:rPr>
        <w:t>万元，</w:t>
      </w:r>
      <w:r>
        <w:rPr>
          <w:rFonts w:hint="eastAsia"/>
          <w:spacing w:val="-30"/>
          <w:lang w:val="en-US" w:eastAsia="zh-Hans"/>
        </w:rPr>
        <w:t>主要用于按规定开支的各类公务接待支出</w:t>
      </w:r>
      <w:r>
        <w:rPr>
          <w:rFonts w:hint="default"/>
          <w:spacing w:val="-30"/>
          <w:lang w:eastAsia="zh-Hans"/>
        </w:rPr>
        <w:t>。</w:t>
      </w:r>
      <w:r>
        <w:rPr>
          <w:rFonts w:hint="eastAsia"/>
          <w:spacing w:val="-30"/>
          <w:lang w:val="en-US" w:eastAsia="zh-Hans"/>
        </w:rPr>
        <w:t>预算数</w:t>
      </w:r>
      <w:r>
        <w:rPr>
          <w:rFonts w:hint="eastAsia"/>
          <w:spacing w:val="-30"/>
        </w:rPr>
        <w:t>比上年减少</w:t>
      </w:r>
      <w:r>
        <w:rPr>
          <w:spacing w:val="-30"/>
        </w:rPr>
        <w:t xml:space="preserve"> </w:t>
      </w:r>
      <w:r>
        <w:t>2.25</w:t>
      </w:r>
      <w:r>
        <w:rPr>
          <w:spacing w:val="-21"/>
        </w:rPr>
        <w:t xml:space="preserve"> </w:t>
      </w:r>
      <w:r>
        <w:rPr>
          <w:rFonts w:hint="eastAsia"/>
          <w:spacing w:val="-21"/>
        </w:rPr>
        <w:t>万元。主要原因：</w:t>
      </w:r>
      <w:r>
        <w:rPr>
          <w:rFonts w:hint="eastAsia"/>
        </w:rPr>
        <w:t>按照中央八项规定，减少三公经费开支。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/>
        <w:textAlignment w:val="auto"/>
        <w:rPr>
          <w:rFonts w:ascii="黑体" w:eastAsia="黑体"/>
        </w:rPr>
      </w:pPr>
      <w:r>
        <w:rPr>
          <w:rFonts w:hint="eastAsia" w:ascii="黑体" w:eastAsia="黑体"/>
          <w:lang w:val="en-US" w:eastAsia="zh-Hans"/>
        </w:rPr>
        <w:t>九</w:t>
      </w:r>
      <w:r>
        <w:rPr>
          <w:rFonts w:hint="default" w:ascii="黑体" w:eastAsia="黑体"/>
          <w:lang w:eastAsia="zh-Hans"/>
        </w:rPr>
        <w:t>、</w:t>
      </w:r>
      <w:r>
        <w:rPr>
          <w:rFonts w:hint="eastAsia" w:ascii="黑体" w:eastAsia="黑体"/>
        </w:rPr>
        <w:t>其他重要事项的情况说明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360" w:lineRule="auto"/>
        <w:textAlignment w:val="auto"/>
      </w:pPr>
      <w:r>
        <w:rPr>
          <w:rFonts w:hint="eastAsia"/>
        </w:rPr>
        <w:t>（一）机关运行经费支出情况说明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340" w:firstLine="707"/>
        <w:textAlignment w:val="auto"/>
      </w:pPr>
      <w:r>
        <w:rPr>
          <w:rFonts w:hint="eastAsia"/>
        </w:rPr>
        <w:t>邓州市南阳引丹灌区管理局为事业单位,</w:t>
      </w:r>
      <w:r>
        <w:t xml:space="preserve">2019 </w:t>
      </w:r>
      <w:r>
        <w:rPr>
          <w:rFonts w:hint="eastAsia"/>
        </w:rPr>
        <w:t>年机关运行经费支出预算</w:t>
      </w:r>
      <w:r>
        <w:t xml:space="preserve"> 0 </w:t>
      </w:r>
      <w:r>
        <w:rPr>
          <w:rFonts w:hint="eastAsia"/>
        </w:rPr>
        <w:t>万元。</w:t>
      </w:r>
      <w: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360" w:lineRule="auto"/>
        <w:ind w:left="0" w:leftChars="0" w:firstLine="643" w:firstLineChars="200"/>
        <w:textAlignment w:val="auto"/>
      </w:pPr>
      <w:r>
        <w:rPr>
          <w:rFonts w:hint="eastAsia"/>
        </w:rPr>
        <w:t>（二）政府采购支出情况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我局</w:t>
      </w:r>
      <w:r>
        <w:t xml:space="preserve">2019 </w:t>
      </w:r>
      <w:r>
        <w:rPr>
          <w:rFonts w:hint="eastAsia"/>
        </w:rPr>
        <w:t>年政府采购预算安排</w:t>
      </w:r>
      <w:r>
        <w:rPr>
          <w:rFonts w:hint="eastAsia"/>
          <w:lang w:val="en-US" w:eastAsia="zh-Hans"/>
        </w:rPr>
        <w:t>为</w:t>
      </w:r>
      <w:r>
        <w:rPr>
          <w:rFonts w:hint="default"/>
          <w:lang w:eastAsia="zh-Hans"/>
        </w:rPr>
        <w:t>0</w:t>
      </w:r>
      <w:r>
        <w:rPr>
          <w:rFonts w:hint="eastAsia"/>
          <w:lang w:val="en-US" w:eastAsia="zh-Hans"/>
        </w:rPr>
        <w:t>万元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709"/>
        <w:jc w:val="left"/>
        <w:textAlignment w:val="auto"/>
        <w:outlineLvl w:val="9"/>
        <w:rPr>
          <w:rFonts w:hint="eastAsia" w:asci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（三）绩效目标设置情况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800" w:firstLineChars="2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2019年，我单位拟组织对一般性项目支出和专项支出2个项目进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行预算绩效评价，涉及资金20万元。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Hans" w:bidi="ar-SA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Hans" w:bidi="ar-SA"/>
        </w:rPr>
        <w:t>（四）国有资产占用情况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/>
        <w:textAlignment w:val="auto"/>
      </w:pPr>
      <w:r>
        <w:t>201</w:t>
      </w:r>
      <w:r>
        <w:t>8</w:t>
      </w:r>
      <w:r>
        <w:rPr>
          <w:rFonts w:hint="eastAsia"/>
          <w:spacing w:val="-8"/>
        </w:rPr>
        <w:t>年期末，我局共有车辆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辆，其中：一般公务用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/>
        <w:textAlignment w:val="auto"/>
      </w:pPr>
      <w:r>
        <w:rPr>
          <w:rFonts w:hint="eastAsia"/>
        </w:rPr>
        <w:t>车</w:t>
      </w:r>
      <w:r>
        <w:t xml:space="preserve"> 5</w:t>
      </w:r>
      <w:r>
        <w:rPr>
          <w:spacing w:val="-23"/>
        </w:rPr>
        <w:t xml:space="preserve"> </w:t>
      </w:r>
      <w:r>
        <w:rPr>
          <w:rFonts w:hint="eastAsia"/>
          <w:spacing w:val="-23"/>
        </w:rPr>
        <w:t>辆；单价</w:t>
      </w:r>
      <w:r>
        <w:rPr>
          <w:spacing w:val="-23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万元以上通用设备</w:t>
      </w:r>
      <w:r>
        <w:rPr>
          <w:spacing w:val="-10"/>
        </w:rPr>
        <w:t xml:space="preserve"> </w:t>
      </w:r>
      <w:r>
        <w:t>0</w:t>
      </w:r>
      <w:r>
        <w:rPr>
          <w:spacing w:val="-28"/>
        </w:rPr>
        <w:t xml:space="preserve"> </w:t>
      </w:r>
      <w:r>
        <w:rPr>
          <w:rFonts w:hint="eastAsia"/>
          <w:spacing w:val="-28"/>
        </w:rPr>
        <w:t>台，单位价值</w:t>
      </w:r>
      <w:r>
        <w:rPr>
          <w:spacing w:val="-28"/>
        </w:rPr>
        <w:t xml:space="preserve"> </w:t>
      </w:r>
      <w:r>
        <w:t>100</w:t>
      </w:r>
      <w:r>
        <w:rPr>
          <w:spacing w:val="-41"/>
        </w:rPr>
        <w:t xml:space="preserve"> </w:t>
      </w:r>
      <w:r>
        <w:rPr>
          <w:rFonts w:hint="eastAsia"/>
          <w:spacing w:val="-41"/>
        </w:rPr>
        <w:t>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/>
        <w:textAlignment w:val="auto"/>
      </w:pPr>
      <w:r>
        <w:rPr>
          <w:rFonts w:hint="eastAsia"/>
          <w:spacing w:val="-1"/>
        </w:rPr>
        <w:t>元以上专用设备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rPr>
          <w:rFonts w:hint="eastAsia"/>
          <w:spacing w:val="-4"/>
        </w:rPr>
        <w:t>台</w:t>
      </w:r>
      <w:r>
        <w:rPr>
          <w:rFonts w:hint="default"/>
          <w:spacing w:val="-4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360" w:lineRule="auto"/>
        <w:textAlignment w:val="auto"/>
      </w:pPr>
      <w:r>
        <w:rPr>
          <w:rFonts w:hint="eastAsia"/>
        </w:rPr>
        <w:t>（</w:t>
      </w:r>
      <w:r>
        <w:rPr>
          <w:rFonts w:hint="eastAsia"/>
          <w:lang w:val="en-US" w:eastAsia="zh-Hans"/>
        </w:rPr>
        <w:t>五</w:t>
      </w:r>
      <w:r>
        <w:rPr>
          <w:rFonts w:hint="eastAsia"/>
        </w:rPr>
        <w:t>）专项转移支付情况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1"/>
        <w:textAlignment w:val="auto"/>
      </w:pPr>
      <w:r>
        <w:rPr>
          <w:rFonts w:hint="eastAsia"/>
          <w:spacing w:val="-5"/>
        </w:rPr>
        <w:t>我单位负责的专项转移支付项目共有</w:t>
      </w:r>
      <w:r>
        <w:rPr>
          <w:spacing w:val="-5"/>
        </w:rPr>
        <w:t xml:space="preserve"> </w:t>
      </w:r>
      <w:r>
        <w:t>0</w:t>
      </w:r>
      <w:r>
        <w:rPr>
          <w:spacing w:val="-28"/>
        </w:rPr>
        <w:t xml:space="preserve"> </w:t>
      </w:r>
      <w:r>
        <w:rPr>
          <w:rFonts w:hint="eastAsia"/>
          <w:spacing w:val="-28"/>
        </w:rPr>
        <w:t>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981" w:right="574"/>
        <w:jc w:val="center"/>
        <w:textAlignment w:val="auto"/>
        <w:rPr>
          <w:rFonts w:ascii="黑体"/>
          <w:sz w:val="41"/>
        </w:rPr>
      </w:pPr>
      <w:r>
        <w:rPr>
          <w:rFonts w:hint="eastAsia" w:ascii="黑体" w:eastAsia="黑体"/>
        </w:rPr>
        <w:t>第三部分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 w:right="420"/>
        <w:textAlignment w:val="auto"/>
      </w:pPr>
      <w:r>
        <w:rPr>
          <w:rFonts w:hint="eastAsia"/>
        </w:rPr>
        <w:t>一、财政拨款收入：是指市级财政当年拨付的资金。</w:t>
      </w:r>
      <w:r>
        <w:rPr>
          <w:rFonts w:hint="eastAsia"/>
          <w:spacing w:val="-11"/>
        </w:rPr>
        <w:t>二、事业收入：是指事业单位开展专业活动及辅助活动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/>
        <w:textAlignment w:val="auto"/>
      </w:pPr>
      <w:r>
        <w:rPr>
          <w:rFonts w:hint="eastAsia"/>
        </w:rPr>
        <w:t>所取得的收入。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341" w:firstLine="707"/>
        <w:textAlignment w:val="auto"/>
      </w:pPr>
      <w:r>
        <w:rPr>
          <w:rFonts w:hint="eastAsia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sectPr>
          <w:pgSz w:w="11910" w:h="16840"/>
          <w:pgMar w:top="1500" w:right="1380" w:bottom="280" w:left="16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20" w:firstLine="707"/>
        <w:jc w:val="both"/>
        <w:textAlignment w:val="auto"/>
      </w:pPr>
      <w:r>
        <w:rPr>
          <w:rFonts w:hint="eastAsia"/>
          <w:spacing w:val="-11"/>
        </w:rPr>
        <w:t>四、用事业基金弥补收支差额：是指事业单位在当年的</w:t>
      </w:r>
      <w:r>
        <w:rPr>
          <w:rFonts w:hint="eastAsia"/>
          <w:spacing w:val="-3"/>
        </w:rPr>
        <w:t>“财政拨款收入”、“事业收入”、“经营收入”和“其他</w:t>
      </w:r>
      <w:r>
        <w:rPr>
          <w:rFonts w:hint="eastAsia"/>
          <w:spacing w:val="-5"/>
        </w:rPr>
        <w:t>收入”不足以安排当年支出的情况下，使用以前年度积累的</w:t>
      </w:r>
      <w:r>
        <w:rPr>
          <w:rFonts w:hint="eastAsia"/>
          <w:spacing w:val="-2"/>
        </w:rPr>
        <w:t>事业基金</w:t>
      </w:r>
      <w:r>
        <w:rPr>
          <w:rFonts w:hint="eastAsia"/>
        </w:rPr>
        <w:t>（</w:t>
      </w:r>
      <w:r>
        <w:rPr>
          <w:rFonts w:hint="eastAsia"/>
          <w:spacing w:val="-2"/>
        </w:rPr>
        <w:t>即事业单位以前各年度收支相抵后，按国家规定</w:t>
      </w:r>
      <w:r>
        <w:rPr>
          <w:rFonts w:hint="eastAsia"/>
          <w:spacing w:val="-3"/>
        </w:rPr>
        <w:t>提取、用于弥补以后年度收支差额的基金</w:t>
      </w:r>
      <w:r>
        <w:rPr>
          <w:rFonts w:hint="eastAsia"/>
          <w:spacing w:val="-8"/>
        </w:rPr>
        <w:t>）</w:t>
      </w:r>
      <w:r>
        <w:rPr>
          <w:rFonts w:hint="eastAsia"/>
          <w:spacing w:val="-2"/>
        </w:rPr>
        <w:t>弥补当年收支缺</w:t>
      </w:r>
      <w:r>
        <w:rPr>
          <w:rFonts w:hint="eastAsia"/>
        </w:rPr>
        <w:t>口的资金。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18" w:firstLine="707"/>
        <w:jc w:val="both"/>
        <w:textAlignment w:val="auto"/>
      </w:pPr>
      <w:r>
        <w:rPr>
          <w:rFonts w:hint="eastAsia"/>
          <w:spacing w:val="-10"/>
        </w:rPr>
        <w:t>五、基本支出：是指为保障机构正常运转、完成日常工</w:t>
      </w:r>
      <w:r>
        <w:rPr>
          <w:rFonts w:hint="eastAsia"/>
          <w:spacing w:val="-3"/>
        </w:rPr>
        <w:t>作任务所必需的开支，其内容包括人员经费和日常公用经费</w:t>
      </w:r>
      <w:r>
        <w:rPr>
          <w:rFonts w:hint="eastAsia"/>
        </w:rPr>
        <w:t>两部分。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342" w:firstLine="707"/>
        <w:textAlignment w:val="auto"/>
      </w:pPr>
      <w:r>
        <w:rPr>
          <w:rFonts w:hint="eastAsia"/>
        </w:rPr>
        <w:t>六、项目支出：是指在基本支出之外，为完成特定的行政工作任务或事业发展目标所发生的支出。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18" w:firstLine="707"/>
        <w:jc w:val="both"/>
        <w:textAlignment w:val="auto"/>
      </w:pPr>
      <w:r>
        <w:rPr>
          <w:rFonts w:hint="eastAsia"/>
          <w:spacing w:val="-11"/>
        </w:rPr>
        <w:t>七、“三公”经费：是指纳入本级财政预算管理，部门</w:t>
      </w:r>
      <w:r>
        <w:rPr>
          <w:rFonts w:hint="eastAsia"/>
          <w:spacing w:val="-1"/>
        </w:rPr>
        <w:t>使用财政拨款安排的因公出国</w:t>
      </w:r>
      <w:r>
        <w:rPr>
          <w:rFonts w:hint="eastAsia"/>
        </w:rPr>
        <w:t>（境</w:t>
      </w:r>
      <w:r>
        <w:rPr>
          <w:rFonts w:hint="eastAsia"/>
          <w:spacing w:val="-5"/>
        </w:rPr>
        <w:t>）</w:t>
      </w:r>
      <w:r>
        <w:rPr>
          <w:rFonts w:hint="eastAsia"/>
          <w:spacing w:val="-4"/>
        </w:rPr>
        <w:t>费、公务用车购置及运</w:t>
      </w:r>
      <w:r>
        <w:rPr>
          <w:rFonts w:hint="eastAsia"/>
          <w:spacing w:val="-2"/>
        </w:rPr>
        <w:t>行费和公务接待费。其中，因公出国</w:t>
      </w:r>
      <w:r>
        <w:rPr>
          <w:rFonts w:hint="eastAsia"/>
        </w:rPr>
        <w:t>（境</w:t>
      </w:r>
      <w:r>
        <w:rPr>
          <w:rFonts w:hint="eastAsia"/>
          <w:spacing w:val="-3"/>
        </w:rPr>
        <w:t>）</w:t>
      </w:r>
      <w:r>
        <w:rPr>
          <w:rFonts w:hint="eastAsia"/>
          <w:spacing w:val="-2"/>
        </w:rPr>
        <w:t>费反映单位公务出国</w:t>
      </w:r>
      <w:r>
        <w:rPr>
          <w:rFonts w:hint="eastAsia"/>
        </w:rPr>
        <w:t>（境</w:t>
      </w:r>
      <w:r>
        <w:rPr>
          <w:rFonts w:hint="eastAsia"/>
          <w:spacing w:val="-3"/>
        </w:rPr>
        <w:t>）的住宿费、旅费、伙食补助费、杂费、培训费等</w:t>
      </w:r>
      <w:r>
        <w:rPr>
          <w:rFonts w:hint="eastAsia"/>
          <w:spacing w:val="-6"/>
        </w:rPr>
        <w:t>支出；公务用车购置及运行费反映单位公务用车购置费及租</w:t>
      </w:r>
      <w:r>
        <w:rPr>
          <w:rFonts w:hint="eastAsia"/>
          <w:spacing w:val="-4"/>
        </w:rPr>
        <w:t>用费、燃料费、维修费、过路过桥费、保险费、安全奖励费用等支出；公务接待费反映单位按规定开支的各类公务接待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/>
        <w:textAlignment w:val="auto"/>
      </w:pPr>
      <w:r>
        <w:rPr>
          <w:rFonts w:hint="eastAsia"/>
        </w:rPr>
        <w:t>（含外宾接待）支出。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99" w:firstLine="707"/>
        <w:textAlignment w:val="auto"/>
      </w:pPr>
      <w:r>
        <w:rPr>
          <w:rFonts w:hint="eastAsia"/>
          <w:spacing w:val="-10"/>
        </w:rPr>
        <w:t>八、机关运行经费：是指为保障行政单位</w:t>
      </w:r>
      <w:r>
        <w:rPr>
          <w:rFonts w:hint="eastAsia"/>
        </w:rPr>
        <w:t>（含参照公务</w:t>
      </w:r>
      <w:r>
        <w:t xml:space="preserve"> </w:t>
      </w:r>
      <w:r>
        <w:rPr>
          <w:rFonts w:hint="eastAsia"/>
        </w:rPr>
        <w:t>员法管理的事业单位</w:t>
      </w:r>
      <w:r>
        <w:rPr>
          <w:rFonts w:hint="eastAsia"/>
          <w:spacing w:val="-13"/>
        </w:rPr>
        <w:t>）</w:t>
      </w:r>
      <w:r>
        <w:rPr>
          <w:rFonts w:hint="eastAsia"/>
          <w:spacing w:val="-1"/>
        </w:rPr>
        <w:t>运行用于购买货物和服务的各项资金，</w:t>
      </w:r>
      <w:r>
        <w:rPr>
          <w:spacing w:val="-1"/>
        </w:rPr>
        <w:t xml:space="preserve"> </w:t>
      </w:r>
      <w:r>
        <w:rPr>
          <w:rFonts w:hint="eastAsia"/>
          <w:spacing w:val="-3"/>
        </w:rPr>
        <w:t>包括办公及印刷费、邮电费、差旅费、会议费、福利费、日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sectPr>
          <w:pgSz w:w="11910" w:h="16840"/>
          <w:pgMar w:top="1500" w:right="1380" w:bottom="280" w:left="16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120" w:right="420"/>
        <w:jc w:val="both"/>
        <w:textAlignment w:val="auto"/>
      </w:pPr>
      <w:r>
        <w:rPr>
          <w:rFonts w:hint="eastAsia"/>
          <w:spacing w:val="-3"/>
        </w:rPr>
        <w:t>常维修费及一般设备购置费、办公用房水电费、办公用房取</w:t>
      </w:r>
      <w:r>
        <w:rPr>
          <w:rFonts w:hint="eastAsia"/>
          <w:spacing w:val="-5"/>
        </w:rPr>
        <w:t>暖费、办公用房物业管理费、公务用车运行维护费以及其他</w:t>
      </w:r>
      <w:r>
        <w:rPr>
          <w:rFonts w:hint="eastAsia"/>
        </w:rPr>
        <w:t>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828"/>
        <w:textAlignment w:val="auto"/>
      </w:pPr>
      <w:r>
        <w:rPr>
          <w:rFonts w:hint="eastAsia"/>
        </w:rPr>
        <w:t>附表：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547" w:right="4778"/>
        <w:jc w:val="both"/>
        <w:textAlignment w:val="auto"/>
      </w:pPr>
      <w:r>
        <w:rPr>
          <w:rFonts w:hint="eastAsia"/>
        </w:rPr>
        <w:t>一、部门收支总体情况表二、部门收入总体情况表三、部门支出总体情况表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547" w:right="4138"/>
        <w:textAlignment w:val="auto"/>
      </w:pPr>
      <w:r>
        <w:rPr>
          <w:rFonts w:hint="eastAsia"/>
        </w:rPr>
        <w:t>四、财政拨款收支总体情况表五、一般公共预算支出情况表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547"/>
        <w:textAlignment w:val="auto"/>
      </w:pPr>
      <w:r>
        <w:rPr>
          <w:rFonts w:hint="eastAsia"/>
        </w:rPr>
        <w:t>六、一般公共预算基本支出情况表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547" w:right="2218"/>
        <w:textAlignment w:val="auto"/>
      </w:pPr>
      <w:r>
        <w:rPr>
          <w:rFonts w:hint="eastAsia"/>
        </w:rPr>
        <w:t>七、一般公共预算“三公”经费支出情况表八、政府性基金预算支出情况表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sectPr>
          <w:pgSz w:w="11910" w:h="16840"/>
          <w:pgMar w:top="1500" w:right="1380" w:bottom="280" w:left="168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rPr>
          <w:rFonts w:ascii="Times New Roman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rPr>
          <w:rFonts w:ascii="Times New Roman"/>
          <w:sz w:val="15"/>
        </w:rPr>
        <w:sectPr>
          <w:pgSz w:w="23820" w:h="16840" w:orient="landscape"/>
          <w:pgMar w:top="1580" w:right="640" w:bottom="280" w:left="132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textAlignment w:val="auto"/>
        <w:rPr>
          <w:rFonts w:ascii="Times New Roman"/>
          <w:sz w:val="40"/>
        </w:rPr>
      </w:pPr>
      <w:r>
        <w:rPr>
          <w:rFonts w:hint="eastAsia" w:ascii="Times New Roman"/>
          <w:sz w:val="40"/>
        </w:rPr>
        <w:t>附表</w:t>
      </w:r>
    </w:p>
    <w:sectPr>
      <w:type w:val="continuous"/>
      <w:pgSz w:w="23820" w:h="16840" w:orient="landscape"/>
      <w:pgMar w:top="1440" w:right="640" w:bottom="280" w:left="1320" w:header="720" w:footer="720" w:gutter="0"/>
      <w:cols w:equalWidth="0" w:num="2">
        <w:col w:w="12845" w:space="40"/>
        <w:col w:w="8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EEA8"/>
    <w:multiLevelType w:val="singleLevel"/>
    <w:tmpl w:val="60B9EEA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B9EF7F"/>
    <w:multiLevelType w:val="singleLevel"/>
    <w:tmpl w:val="60B9EF7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0B9F40B"/>
    <w:multiLevelType w:val="multilevel"/>
    <w:tmpl w:val="60B9F40B"/>
    <w:lvl w:ilvl="0" w:tentative="0">
      <w:start w:val="1"/>
      <w:numFmt w:val="chineseCounting"/>
      <w:suff w:val="nothing"/>
      <w:lvlText w:val="(%1)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50"/>
    <w:rsid w:val="00032854"/>
    <w:rsid w:val="000C7DF0"/>
    <w:rsid w:val="00222B20"/>
    <w:rsid w:val="002A03E0"/>
    <w:rsid w:val="002C426A"/>
    <w:rsid w:val="002F1ECE"/>
    <w:rsid w:val="003B4D77"/>
    <w:rsid w:val="00444D50"/>
    <w:rsid w:val="00480505"/>
    <w:rsid w:val="004B2028"/>
    <w:rsid w:val="004B3E2F"/>
    <w:rsid w:val="00521D69"/>
    <w:rsid w:val="00704ECF"/>
    <w:rsid w:val="00757984"/>
    <w:rsid w:val="00773D71"/>
    <w:rsid w:val="007A5865"/>
    <w:rsid w:val="007B4293"/>
    <w:rsid w:val="007C1A47"/>
    <w:rsid w:val="008C2538"/>
    <w:rsid w:val="008C7665"/>
    <w:rsid w:val="009A0B2F"/>
    <w:rsid w:val="00A93C39"/>
    <w:rsid w:val="00AC5127"/>
    <w:rsid w:val="00B07D3F"/>
    <w:rsid w:val="00BC1B57"/>
    <w:rsid w:val="00BF4D02"/>
    <w:rsid w:val="00C2233C"/>
    <w:rsid w:val="00D20723"/>
    <w:rsid w:val="00DB07D3"/>
    <w:rsid w:val="00E237A3"/>
    <w:rsid w:val="00ED2F4D"/>
    <w:rsid w:val="00F15EF4"/>
    <w:rsid w:val="BDF9A9B0"/>
    <w:rsid w:val="F7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1"/>
    <w:semiHidden/>
    <w:uiPriority w:val="99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link w:val="2"/>
    <w:semiHidden/>
    <w:locked/>
    <w:uiPriority w:val="99"/>
    <w:rPr>
      <w:rFonts w:ascii="宋体" w:eastAsia="宋体" w:cs="宋体"/>
      <w:kern w:val="0"/>
      <w:sz w:val="22"/>
      <w:lang w:val="zh-CN"/>
    </w:rPr>
  </w:style>
  <w:style w:type="paragraph" w:customStyle="1" w:styleId="9">
    <w:name w:val="Heading 11"/>
    <w:basedOn w:val="1"/>
    <w:uiPriority w:val="99"/>
    <w:pPr>
      <w:ind w:left="4980"/>
      <w:outlineLvl w:val="1"/>
    </w:pPr>
    <w:rPr>
      <w:b/>
      <w:bCs/>
      <w:sz w:val="40"/>
      <w:szCs w:val="40"/>
    </w:rPr>
  </w:style>
  <w:style w:type="paragraph" w:customStyle="1" w:styleId="10">
    <w:name w:val="Heading 21"/>
    <w:basedOn w:val="1"/>
    <w:uiPriority w:val="99"/>
    <w:pPr>
      <w:spacing w:before="27"/>
      <w:ind w:left="828"/>
      <w:outlineLvl w:val="2"/>
    </w:pPr>
    <w:rPr>
      <w:rFonts w:ascii="仿宋" w:hAnsi="仿宋" w:eastAsia="仿宋" w:cs="仿宋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99"/>
  </w:style>
  <w:style w:type="paragraph" w:customStyle="1" w:styleId="12">
    <w:name w:val="Table Paragraph"/>
    <w:basedOn w:val="1"/>
    <w:uiPriority w:val="99"/>
  </w:style>
  <w:style w:type="character" w:customStyle="1" w:styleId="13">
    <w:name w:val="页眉 Char"/>
    <w:link w:val="4"/>
    <w:semiHidden/>
    <w:uiPriority w:val="99"/>
    <w:rPr>
      <w:rFonts w:ascii="宋体" w:hAnsi="宋体" w:cs="宋体"/>
      <w:kern w:val="0"/>
      <w:sz w:val="18"/>
      <w:szCs w:val="18"/>
      <w:lang w:val="zh-CN"/>
    </w:rPr>
  </w:style>
  <w:style w:type="character" w:customStyle="1" w:styleId="14">
    <w:name w:val="页脚 Char"/>
    <w:link w:val="3"/>
    <w:semiHidden/>
    <w:uiPriority w:val="99"/>
    <w:rPr>
      <w:rFonts w:ascii="宋体" w:hAnsi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399</Words>
  <Characters>2277</Characters>
  <Lines>18</Lines>
  <Paragraphs>5</Paragraphs>
  <TotalTime>0</TotalTime>
  <ScaleCrop>false</ScaleCrop>
  <LinksUpToDate>false</LinksUpToDate>
  <CharactersWithSpaces>2671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2021-05-27T18:03:00Z</dcterms:created>
  <dc:creator>freyalii</dc:creator>
  <cp:lastModifiedBy>freyalii</cp:lastModifiedBy>
  <dcterms:modified xsi:type="dcterms:W3CDTF">2021-06-04T18:09:43Z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KSOProductBuildVer">
    <vt:lpwstr>2052-3.4.2.5348</vt:lpwstr>
  </property>
</Properties>
</file>