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2019年邓州市气象局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部门</w:t>
      </w:r>
      <w:r>
        <w:rPr>
          <w:rFonts w:hint="eastAsia" w:ascii="黑体" w:hAnsi="黑体" w:eastAsia="黑体" w:cs="黑体"/>
          <w:sz w:val="30"/>
          <w:szCs w:val="30"/>
        </w:rPr>
        <w:t>预算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公开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目  录</w:t>
      </w:r>
    </w:p>
    <w:p>
      <w:pPr>
        <w:numPr>
          <w:ilvl w:val="0"/>
          <w:numId w:val="0"/>
        </w:numPr>
        <w:autoSpaceDE/>
        <w:autoSpaceDN/>
        <w:spacing w:before="240" w:after="0" w:line="240" w:lineRule="auto"/>
        <w:ind w:right="0" w:firstLine="0"/>
        <w:jc w:val="left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第一部分  邓州市气象局概况</w:t>
      </w:r>
    </w:p>
    <w:p>
      <w:pPr>
        <w:pStyle w:val="38"/>
        <w:numPr>
          <w:ilvl w:val="0"/>
          <w:numId w:val="1"/>
        </w:numPr>
        <w:autoSpaceDE/>
        <w:autoSpaceDN/>
        <w:bidi w:val="0"/>
        <w:spacing w:before="0" w:after="0" w:line="240" w:lineRule="auto"/>
        <w:ind w:left="0" w:leftChars="0" w:right="0" w:rightChars="0" w:firstLine="720" w:firstLineChars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主要职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Hans"/>
        </w:rPr>
        <w:t>责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 </w:t>
      </w:r>
    </w:p>
    <w:p>
      <w:pPr>
        <w:pStyle w:val="38"/>
        <w:numPr>
          <w:ilvl w:val="0"/>
          <w:numId w:val="1"/>
        </w:numPr>
        <w:autoSpaceDE/>
        <w:autoSpaceDN/>
        <w:bidi w:val="0"/>
        <w:spacing w:before="0" w:after="0" w:line="240" w:lineRule="auto"/>
        <w:ind w:left="0" w:leftChars="0" w:right="0" w:rightChars="0" w:firstLine="720" w:firstLineChars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机构设置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Hans"/>
        </w:rPr>
        <w:t>及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第二部分 邓州市气象局2019年部门预算情况说明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第三部分 名词解释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附件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：邓州市气象局2019年度部门预算表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一、部门收支总体情况表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二、部门收入总体情况表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三、部门支出总体情况表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四、财政拨款收支总体情况表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五、一般公共预算支出情况表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六、一般公共预算基本支出情况表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七、一般公共预算“三公”经费支出情况表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八、政府性基金预算支出情况表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numPr>
          <w:numId w:val="0"/>
        </w:numPr>
        <w:autoSpaceDE/>
        <w:autoSpaceDN/>
        <w:spacing w:before="0" w:after="0" w:line="240" w:lineRule="auto"/>
        <w:ind w:right="0" w:rightChars="0"/>
        <w:jc w:val="center"/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第一部分</w:t>
      </w:r>
    </w:p>
    <w:p>
      <w:pPr>
        <w:numPr>
          <w:numId w:val="0"/>
        </w:numPr>
        <w:autoSpaceDE/>
        <w:autoSpaceDN/>
        <w:spacing w:before="0" w:after="0" w:line="240" w:lineRule="auto"/>
        <w:ind w:right="0" w:rightChars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邓州市气象局概况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一、邓州市气象局主要职责</w:t>
      </w:r>
    </w:p>
    <w:p>
      <w:pPr>
        <w:numPr>
          <w:ilvl w:val="0"/>
          <w:numId w:val="2"/>
        </w:numPr>
        <w:autoSpaceDE/>
        <w:autoSpaceDN/>
        <w:spacing w:before="0" w:after="0" w:line="240" w:lineRule="auto"/>
        <w:ind w:left="0" w:leftChars="0" w:right="0" w:firstLine="640" w:firstLineChars="2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邓州市气象局为国家建设和社会生活提供气象管理与服务保障、气象政策法规贯彻执行与行业管理、气象防灾减灾、天气预报、气候预测、气象服务与专业气象预报服务、气象探测、卫星应用、资料管理、信息咨询及人工影响天气作业与防御雷电服务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6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二、邓州市气象局机构设置</w:t>
      </w: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及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一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机构设置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邓州市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气象局内设机构二个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科室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包括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eastAsia="zh-Hans"/>
        </w:rPr>
        <w:t>：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为综合管理科、防灾减灾科；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二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）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部门预算单位构成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邓州市气象局部门预算只有本级预算一个单位。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6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 xml:space="preserve">第二部分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邓州市气象局2019年部门预算情况说明</w:t>
      </w:r>
    </w:p>
    <w:p>
      <w:pPr>
        <w:numPr>
          <w:ilvl w:val="0"/>
          <w:numId w:val="0"/>
        </w:numPr>
        <w:autoSpaceDE/>
        <w:autoSpaceDN/>
        <w:spacing w:before="240" w:after="0" w:line="240" w:lineRule="auto"/>
        <w:ind w:right="0" w:firstLine="709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一、收入支出预算总体情况说明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   邓州市气象局2019年收入总计63.43万元，支出总计63.43万元，与2018年相比，收入支出降低0.93万元。主要原因是：人员减少，经费减少。               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二、收入预算</w:t>
      </w: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总体情况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7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2019年收入预算63.43万元，其中：一般公共预算收入63.43万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元，政府性基金收入0万元，专户管理的教育收费0万元。  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三、支出预算</w:t>
      </w: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总体情况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邓州市气象局2019年支出预算63.43万元，按照用途划分为：基本支出28.43万元，占年度计划的45%；项目支出35万元，占年度计划的55%。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四、财政拨款收入支出预算总体情况说明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  <w:highlight w:val="none"/>
        </w:rPr>
        <w:t>邓州市气象局2019年财政拨款收入预算63.43万元，支出预算63.43万元。与上年相比，财政拨款收支预算减少0.92万元，下降1%，主要原因：基本出支，人员经费减少。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/>
          <w:smallCaps w:val="0"/>
          <w:color w:val="auto"/>
          <w:spacing w:val="0"/>
          <w:position w:val="0"/>
          <w:sz w:val="32"/>
          <w:szCs w:val="32"/>
          <w:lang w:val="en-US" w:eastAsia="zh-Hans"/>
        </w:rPr>
        <w:t>五</w:t>
      </w:r>
      <w:r>
        <w:rPr>
          <w:rFonts w:hint="default" w:ascii="黑体" w:hAnsi="黑体" w:eastAsia="黑体"/>
          <w:smallCaps w:val="0"/>
          <w:color w:val="auto"/>
          <w:spacing w:val="0"/>
          <w:position w:val="0"/>
          <w:sz w:val="32"/>
          <w:szCs w:val="32"/>
        </w:rPr>
        <w:t>、一般公共预算支出预算情况说明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Hans"/>
        </w:rPr>
        <w:t>邓州市气象局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2019年一般公共预算支出年初预算为63.43万元。主要用于以下方面：社会保障和就业支出7.75万元，占12 %，自然资源海洋气象等支出55.68万元，占88%。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六、支出预算经济分类情况说明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七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、政府性基金预算支出情况说明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2019年没有使用政府性基金预算拨款安排的支出。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八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、“三公”经费支出预算情况说明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我局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2019年“三公”经费预算为0万元。比2018年减少0万元。具体支出情况如下：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因公出国（境）费0万元，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与上年持平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eastAsia="zh-Hans"/>
        </w:rPr>
        <w:t>。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公务用车购置费及维护费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万元，其中，公务用车购置费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万元；公务用车维护费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万元。与上年持平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。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公务接待费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万元。与上年持平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Hans"/>
        </w:rPr>
        <w:t>九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、其他重要事项的情况说明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（一）机关运行经费支出情况说明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我单位为事业单位，机关运行经费为0。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（二）政府采购支出情况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我局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为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eastAsia="zh-Hans"/>
        </w:rPr>
        <w:t>0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（三）绩效目标设置情况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2019年，我单位拟组织对农业气象公益服务平台和人工影响天气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Hans"/>
        </w:rPr>
        <w:t>等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个项目进行预算绩效评价，涉及资金        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31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color w:val="auto"/>
          <w:position w:val="0"/>
          <w:sz w:val="32"/>
          <w:szCs w:val="32"/>
          <w:lang w:val="en-US" w:eastAsia="zh-Hans"/>
        </w:rPr>
        <w:t>四</w:t>
      </w: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）国有资产占用情况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2019年期末，我局共有车辆1辆，其中：一般公务用车1辆；单价50万元以上通用设备0台，单位价值100万元以上专用设备0台。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color w:val="auto"/>
          <w:position w:val="0"/>
          <w:sz w:val="32"/>
          <w:szCs w:val="32"/>
          <w:lang w:val="en-US" w:eastAsia="zh-Hans"/>
        </w:rPr>
        <w:t>五</w:t>
      </w: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）专项转移支付</w:t>
      </w:r>
      <w:r>
        <w:rPr>
          <w:rFonts w:hint="eastAsia" w:ascii="仿宋_GB2312" w:hAnsi="仿宋_GB2312" w:eastAsia="仿宋_GB2312"/>
          <w:b/>
          <w:color w:val="auto"/>
          <w:position w:val="0"/>
          <w:sz w:val="32"/>
          <w:szCs w:val="32"/>
          <w:lang w:val="en-US" w:eastAsia="zh-Hans"/>
        </w:rPr>
        <w:t>项目</w:t>
      </w: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我单位负责的专项转移支付项目共有0项。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第三部分 名词解释</w:t>
      </w:r>
    </w:p>
    <w:p>
      <w:pPr>
        <w:numPr>
          <w:ilvl w:val="0"/>
          <w:numId w:val="0"/>
        </w:numPr>
        <w:autoSpaceDE/>
        <w:autoSpaceDN/>
        <w:spacing w:before="24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一、财政拨款收入：是指市级财政当年拨付的资金。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二、事业收入：是指事业单位开展专业活动及辅助活动所取 得的收入。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709"/>
        <w:jc w:val="both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附表：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一、部门收支总体情况表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二、部门收入总体情况表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三、部门支出总体情况表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四、财政拨款收支总体情况表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五、一般公共预算支出情况表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六、一般公共预算基本支出情况表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5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七、一般公共预算“三公”经费支出情况表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6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八、政府性基金预算支出情况表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/>
        <w:jc w:val="both"/>
        <w:rPr>
          <w:rFonts w:hint="default" w:ascii="仿宋_GB2312" w:hAnsi="仿宋_GB2312" w:eastAsia="仿宋_GB2312"/>
          <w:b w:val="0"/>
          <w:color w:val="auto"/>
          <w:positio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algun Gothic">
    <w:altName w:val="Apple SD Gothic Neo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Cambria Regular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Bradley Hand">
    <w:panose1 w:val="00000700000000000000"/>
    <w:charset w:val="00"/>
    <w:family w:val="auto"/>
    <w:pitch w:val="default"/>
    <w:sig w:usb0="800000FF" w:usb1="5000204A" w:usb2="00000000" w:usb3="00000000" w:csb0="20000111" w:csb1="41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FD73"/>
    <w:multiLevelType w:val="singleLevel"/>
    <w:tmpl w:val="60B9FD7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60BA0390"/>
    <w:multiLevelType w:val="singleLevel"/>
    <w:tmpl w:val="60BA0390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000000"/>
    <w:rsid w:val="EFA7164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semiHidden="0" w:name="header"/>
    <w:lsdException w:qFormat="1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1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6">
    <w:name w:val="Default Paragraph Font"/>
    <w:unhideWhenUsed/>
    <w:qFormat/>
    <w:uiPriority w:val="2"/>
  </w:style>
  <w:style w:type="table" w:default="1" w:styleId="29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Body Text"/>
    <w:basedOn w:val="1"/>
    <w:uiPriority w:val="0"/>
    <w:rPr>
      <w:rFonts w:ascii="仿宋" w:hAnsi="仿宋" w:eastAsia="仿宋" w:cs="仿宋"/>
      <w:sz w:val="32"/>
      <w:szCs w:val="32"/>
    </w:r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Balloon Text"/>
    <w:basedOn w:val="1"/>
    <w:link w:val="42"/>
    <w:unhideWhenUsed/>
    <w:qFormat/>
    <w:uiPriority w:val="151"/>
    <w:rPr>
      <w:w w:val="100"/>
      <w:sz w:val="18"/>
      <w:szCs w:val="18"/>
      <w:shd w:val="clear"/>
    </w:rPr>
  </w:style>
  <w:style w:type="paragraph" w:styleId="17">
    <w:name w:val="footer"/>
    <w:basedOn w:val="1"/>
    <w:link w:val="41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40"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customStyle="1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8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40">
    <w:name w:val="页眉 Char"/>
    <w:basedOn w:val="26"/>
    <w:link w:val="18"/>
    <w:qFormat/>
    <w:uiPriority w:val="154"/>
    <w:rPr>
      <w:w w:val="100"/>
      <w:sz w:val="18"/>
      <w:szCs w:val="18"/>
      <w:shd w:val="clear"/>
    </w:rPr>
  </w:style>
  <w:style w:type="character" w:customStyle="1" w:styleId="41">
    <w:name w:val="页脚 Char"/>
    <w:basedOn w:val="26"/>
    <w:link w:val="17"/>
    <w:qFormat/>
    <w:uiPriority w:val="155"/>
    <w:rPr>
      <w:w w:val="100"/>
      <w:sz w:val="18"/>
      <w:szCs w:val="18"/>
      <w:shd w:val="clear"/>
    </w:rPr>
  </w:style>
  <w:style w:type="character" w:customStyle="1" w:styleId="42">
    <w:name w:val="批注框文本 Char"/>
    <w:basedOn w:val="26"/>
    <w:link w:val="16"/>
    <w:semiHidden/>
    <w:qFormat/>
    <w:uiPriority w:val="156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6</Pages>
  <Words>343</Words>
  <Characters>2300</Characters>
  <Lines>16</Lines>
  <Paragraphs>4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2021-06-04T17:20:28Z</dcterms:created>
  <dc:creator>null,null,总收发</dc:creator>
  <cp:lastModifiedBy>freyalii</cp:lastModifiedBy>
  <dcterms:modified xsi:type="dcterms:W3CDTF">2021-06-04T18:12:01Z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