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邓州市2019年财政局部门预算基本情况说明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邓州市财政局概况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ascii="黑体" w:eastAsia="黑体" w:hAnsiTheme="majorEastAsia"/>
          <w:sz w:val="32"/>
          <w:szCs w:val="32"/>
        </w:rPr>
      </w:pPr>
      <w:r>
        <w:rPr>
          <w:rFonts w:hint="eastAsia" w:ascii="黑体" w:eastAsia="黑体" w:hAnsiTheme="majorEastAsia"/>
          <w:sz w:val="32"/>
          <w:szCs w:val="32"/>
        </w:rPr>
        <w:t>第二部分 邓州市财政局2019年部门预算情况说明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：2019年度部门预算表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  邓州市财政局概况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adjustRightInd w:val="0"/>
        <w:snapToGrid w:val="0"/>
        <w:spacing w:line="312" w:lineRule="auto"/>
        <w:ind w:firstLine="640" w:firstLineChars="200"/>
        <w:rPr>
          <w:rFonts w:eastAsia="仿宋_GB2312"/>
          <w:sz w:val="32"/>
          <w:szCs w:val="32"/>
        </w:rPr>
      </w:pPr>
      <w:r>
        <w:rPr>
          <w:rFonts w:hint="eastAsia" w:hAnsi="仿宋_GB2312" w:eastAsia="仿宋_GB2312"/>
          <w:sz w:val="32"/>
          <w:szCs w:val="32"/>
        </w:rPr>
        <w:t>邓州</w:t>
      </w:r>
      <w:r>
        <w:rPr>
          <w:rFonts w:hAnsi="仿宋_GB2312" w:eastAsia="仿宋_GB2312"/>
          <w:sz w:val="32"/>
          <w:szCs w:val="32"/>
        </w:rPr>
        <w:t>市财政局机关主要职责：贯彻执行国家财政、财务、会计方面的法规、制度；负责全市财政收支管理工作，编制年度市级财政预算草案并组织执行，向市人民代表大会报告全市和市级财政预算及其执行情况；提出完善市乡级政府之间事权支出责任、财政收入划分方案的建议；负责政府非税收入和政府性基金管理；负责制定全市财政国库管理制度、国库集中收付制度，指导和监督市级国库业务，开展国库现金管理工作；负责制定政府采购制度，编制市级政府采购预算并监督管理</w:t>
      </w:r>
      <w:r>
        <w:rPr>
          <w:rFonts w:eastAsia="仿宋_GB2312"/>
          <w:sz w:val="32"/>
          <w:szCs w:val="32"/>
        </w:rPr>
        <w:t>;承办市政府交办的其他事项。</w:t>
      </w:r>
    </w:p>
    <w:p>
      <w:pPr>
        <w:ind w:firstLine="566" w:firstLineChars="177"/>
        <w:rPr>
          <w:rFonts w:ascii="仿宋_GB2312" w:eastAsia="仿宋_GB2312"/>
          <w:sz w:val="32"/>
          <w:szCs w:val="32"/>
        </w:rPr>
      </w:pPr>
      <w:r>
        <w:rPr>
          <w:rFonts w:ascii="Times New Roman" w:hAnsi="Times New Roman" w:eastAsia="仿宋_GB2312"/>
          <w:sz w:val="32"/>
          <w:szCs w:val="32"/>
        </w:rPr>
        <w:t>局属预算单位8个，分别是：</w:t>
      </w:r>
      <w:r>
        <w:rPr>
          <w:rFonts w:ascii="Times New Roman" w:hAnsi="Times New Roman" w:eastAsia="仿宋_GB2312"/>
          <w:b/>
          <w:sz w:val="32"/>
          <w:szCs w:val="32"/>
        </w:rPr>
        <w:t>1、国库支付局。</w:t>
      </w:r>
      <w:r>
        <w:rPr>
          <w:rFonts w:ascii="Times New Roman" w:hAnsi="Times New Roman" w:eastAsia="仿宋_GB2312"/>
          <w:sz w:val="32"/>
          <w:szCs w:val="32"/>
        </w:rPr>
        <w:t>主要职责:负责国库集中支付工作的组织与实施，建立国库支付监督约束机制，提高财政资金使用效益。办理和监督预算单位财政直接或授权支付业务，为预算单位提供服务。负责财政零余额账户、单位零余额账户及预算单位其他资金账户的使用和管理。</w:t>
      </w:r>
      <w:r>
        <w:rPr>
          <w:rFonts w:ascii="Times New Roman" w:hAnsi="Times New Roman" w:eastAsia="仿宋_GB2312"/>
          <w:b/>
          <w:sz w:val="32"/>
          <w:szCs w:val="32"/>
        </w:rPr>
        <w:t>2、基层财务管理局。</w:t>
      </w:r>
      <w:r>
        <w:rPr>
          <w:rFonts w:ascii="Times New Roman" w:hAnsi="Times New Roman" w:eastAsia="仿宋_GB2312"/>
          <w:sz w:val="32"/>
          <w:szCs w:val="32"/>
        </w:rPr>
        <w:t>主要职责：贯彻落实上级关于农村综合改革的方针、政策；做好全市财政惠农补贴资金管理和落实措施。加强对村级财务的监督，负责村级经费的管理和落实工作。</w:t>
      </w:r>
      <w:r>
        <w:rPr>
          <w:rFonts w:ascii="Times New Roman" w:hAnsi="Times New Roman" w:eastAsia="仿宋_GB2312"/>
          <w:b/>
          <w:sz w:val="32"/>
          <w:szCs w:val="32"/>
        </w:rPr>
        <w:t>3、非税收入管理局。</w:t>
      </w:r>
      <w:r>
        <w:rPr>
          <w:rFonts w:ascii="Times New Roman" w:hAnsi="Times New Roman" w:eastAsia="仿宋_GB2312"/>
          <w:sz w:val="32"/>
          <w:szCs w:val="32"/>
        </w:rPr>
        <w:t>主要职责：负责对</w:t>
      </w:r>
      <w:r>
        <w:rPr>
          <w:rFonts w:hAnsi="仿宋_GB2312" w:eastAsia="仿宋_GB2312"/>
          <w:sz w:val="32"/>
          <w:szCs w:val="32"/>
        </w:rPr>
        <w:t>行政事业性收费、基金、罚没收入、政府资源有偿使用收入等非税收入的征收管理。制定非税收入征管制度、规定；负责全市和本级非税收入统计与分析工作。</w:t>
      </w:r>
      <w:r>
        <w:rPr>
          <w:rFonts w:ascii="Times New Roman" w:hAnsi="Times New Roman" w:eastAsia="仿宋_GB2312"/>
          <w:b/>
          <w:sz w:val="32"/>
          <w:szCs w:val="32"/>
        </w:rPr>
        <w:t>4、国有资产管理办公室。</w:t>
      </w:r>
      <w:r>
        <w:rPr>
          <w:rFonts w:hAnsi="仿宋_GB2312" w:eastAsia="仿宋_GB2312"/>
          <w:sz w:val="32"/>
          <w:szCs w:val="32"/>
        </w:rPr>
        <w:t>主要职责：贯彻落实国有资产管理的政策法规，负责全市行政事业单位国有资产管理工作；组织行政事业单位清产核资、核销各项报废和毁损资产，核实各项资产和资金；组织开展国有资产产权登记工作；负责国有资产处置收益的监管和事业单位转企改制后国有控股或参股单位国有资产收益的收缴。</w:t>
      </w:r>
      <w:r>
        <w:rPr>
          <w:rFonts w:ascii="Times New Roman" w:hAnsi="Times New Roman" w:eastAsia="仿宋_GB2312"/>
          <w:b/>
          <w:sz w:val="32"/>
          <w:szCs w:val="32"/>
        </w:rPr>
        <w:t>5、财政监督检查局。</w:t>
      </w:r>
      <w:r>
        <w:rPr>
          <w:rFonts w:hAnsi="仿宋_GB2312" w:eastAsia="仿宋_GB2312"/>
          <w:sz w:val="32"/>
          <w:szCs w:val="32"/>
        </w:rPr>
        <w:t>主要职责：贯彻执行财政监督检查的政策和制度，制定年度监督检查工作计划；负责统一组织对全市财税法规、政策和资金、账户、国有资产等财政财务管理制度执行情况进行监督检查；依法纠正和查处违反财政、财务、会计等法规制度的行为。</w:t>
      </w:r>
      <w:r>
        <w:rPr>
          <w:rFonts w:ascii="Times New Roman" w:hAnsi="Times New Roman" w:eastAsia="仿宋_GB2312"/>
          <w:b/>
          <w:sz w:val="32"/>
          <w:szCs w:val="32"/>
        </w:rPr>
        <w:t>6、财政专项资金管理处。</w:t>
      </w:r>
      <w:r>
        <w:rPr>
          <w:rFonts w:hAnsi="仿宋_GB2312" w:eastAsia="仿宋_GB2312"/>
          <w:sz w:val="32"/>
          <w:szCs w:val="32"/>
        </w:rPr>
        <w:t>主要职责：以财政信用的方式管理技术改造基金，优化投资结构，加强资金周转，提高资金效益，为全市经济发展服务；对我市重点企业技术改造发放贷款，并监督收回。</w:t>
      </w:r>
      <w:r>
        <w:rPr>
          <w:rFonts w:ascii="Times New Roman" w:hAnsi="Times New Roman" w:eastAsia="仿宋_GB2312"/>
          <w:b/>
          <w:sz w:val="32"/>
          <w:szCs w:val="32"/>
        </w:rPr>
        <w:t>7、财政会计培训中心。</w:t>
      </w:r>
      <w:r>
        <w:rPr>
          <w:rFonts w:hAnsi="仿宋_GB2312" w:eastAsia="仿宋_GB2312"/>
          <w:sz w:val="32"/>
          <w:szCs w:val="32"/>
        </w:rPr>
        <w:t>主要职责：负责全市会计教育培训工作；负责财政干部教育培训工作。</w:t>
      </w:r>
      <w:r>
        <w:rPr>
          <w:rFonts w:ascii="Times New Roman" w:hAnsi="Times New Roman" w:eastAsia="仿宋_GB2312"/>
          <w:b/>
          <w:sz w:val="32"/>
          <w:szCs w:val="32"/>
        </w:rPr>
        <w:t>8、政府和社会资本合作管理中心。</w:t>
      </w:r>
      <w:r>
        <w:rPr>
          <w:rFonts w:hAnsi="仿宋_GB2312" w:eastAsia="仿宋_GB2312"/>
          <w:sz w:val="32"/>
          <w:szCs w:val="32"/>
        </w:rPr>
        <w:t>主要职责：负责政府和社会资本合作政策研究、风险控制、业务指导、项目储备、项目评估、项目督导检查及信息管理。</w:t>
      </w:r>
    </w:p>
    <w:p>
      <w:pPr>
        <w:rPr>
          <w:rFonts w:ascii="黑体" w:eastAsia="黑体"/>
          <w:sz w:val="32"/>
          <w:szCs w:val="32"/>
        </w:rPr>
      </w:pPr>
      <w:r>
        <w:rPr>
          <w:rFonts w:hint="eastAsia" w:ascii="黑体" w:eastAsia="黑体"/>
          <w:sz w:val="32"/>
          <w:szCs w:val="32"/>
        </w:rPr>
        <w:t>二、财政局机构设置及部门预算单位构成</w:t>
      </w:r>
    </w:p>
    <w:p>
      <w:pPr>
        <w:adjustRightInd w:val="0"/>
        <w:snapToGrid w:val="0"/>
        <w:spacing w:line="312" w:lineRule="auto"/>
        <w:rPr>
          <w:rFonts w:ascii="Times New Roman" w:hAnsi="Times New Roman" w:eastAsia="仿宋_GB2312"/>
          <w:sz w:val="32"/>
          <w:szCs w:val="32"/>
        </w:rPr>
      </w:pPr>
      <w:r>
        <w:rPr>
          <w:rFonts w:hint="eastAsia" w:ascii="Times New Roman" w:hAnsi="Times New Roman" w:eastAsia="仿宋_GB2312"/>
          <w:sz w:val="32"/>
          <w:szCs w:val="32"/>
        </w:rPr>
        <w:t>（一）机构设置</w:t>
      </w:r>
    </w:p>
    <w:p>
      <w:pPr>
        <w:adjustRightInd w:val="0"/>
        <w:snapToGrid w:val="0"/>
        <w:spacing w:line="312" w:lineRule="auto"/>
        <w:ind w:firstLine="640" w:firstLineChars="200"/>
        <w:rPr>
          <w:rFonts w:ascii="仿宋_GB2312" w:eastAsia="仿宋_GB2312"/>
          <w:sz w:val="32"/>
          <w:szCs w:val="32"/>
        </w:rPr>
      </w:pPr>
      <w:r>
        <w:rPr>
          <w:rFonts w:hint="eastAsia" w:ascii="Times New Roman" w:hAnsi="Times New Roman" w:eastAsia="仿宋_GB2312"/>
          <w:sz w:val="32"/>
          <w:szCs w:val="32"/>
        </w:rPr>
        <w:t>根据《中共邓州市委办公室邓州市人民政府关于印发&lt;邓州市财政局职能配置、内设机构和人员编制规定&gt;的通知》的规定，</w:t>
      </w:r>
      <w:r>
        <w:rPr>
          <w:rFonts w:ascii="Times New Roman" w:hAnsi="Times New Roman" w:eastAsia="仿宋_GB2312"/>
          <w:sz w:val="32"/>
          <w:szCs w:val="32"/>
        </w:rPr>
        <w:t>邓州市财政局机关内设科室21个，分别是：办公室、人事教育科、离退休干部服务科、纪检监察室、预算科、国库科、政法科、社保科、经建科、农业科、金融贸易科、教育事业科、科技文化科、综合科、企业科、政府采购监督管理科、会计科、税政科、绩效评价科、债务科、行政审批服务科。局属</w:t>
      </w:r>
      <w:r>
        <w:rPr>
          <w:rFonts w:hint="eastAsia" w:ascii="Times New Roman" w:hAnsi="Times New Roman" w:eastAsia="仿宋_GB2312"/>
          <w:sz w:val="32"/>
          <w:szCs w:val="32"/>
        </w:rPr>
        <w:t>预算</w:t>
      </w:r>
      <w:r>
        <w:rPr>
          <w:rFonts w:ascii="Times New Roman" w:hAnsi="Times New Roman" w:eastAsia="仿宋_GB2312"/>
          <w:sz w:val="32"/>
          <w:szCs w:val="32"/>
        </w:rPr>
        <w:t>单位8个。</w:t>
      </w:r>
    </w:p>
    <w:p>
      <w:pPr>
        <w:rPr>
          <w:rFonts w:ascii="仿宋_GB2312" w:eastAsia="仿宋_GB2312"/>
          <w:sz w:val="32"/>
          <w:szCs w:val="32"/>
        </w:rPr>
      </w:pPr>
      <w:r>
        <w:rPr>
          <w:rFonts w:hint="eastAsia" w:ascii="仿宋_GB2312" w:eastAsia="仿宋_GB2312"/>
          <w:sz w:val="32"/>
          <w:szCs w:val="32"/>
        </w:rPr>
        <w:t>（二）部门预算单位构成</w:t>
      </w:r>
    </w:p>
    <w:p>
      <w:pPr>
        <w:ind w:firstLine="566" w:firstLineChars="177"/>
        <w:rPr>
          <w:rFonts w:ascii="仿宋_GB2312" w:eastAsia="仿宋_GB2312"/>
          <w:sz w:val="32"/>
          <w:szCs w:val="32"/>
        </w:rPr>
      </w:pPr>
      <w:r>
        <w:rPr>
          <w:rFonts w:hint="eastAsia" w:ascii="仿宋_GB2312" w:eastAsia="仿宋_GB2312"/>
          <w:sz w:val="32"/>
          <w:szCs w:val="32"/>
        </w:rPr>
        <w:t>邓州市财政局局部门预算包括局机关本级预算和局属单位预算。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1、邓州市财政局本级</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2．邓州市国库支付局</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3．邓州市基层财务管理局</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4．邓州市非税收入管理局</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5．邓州市国有资产管理办公室</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6．邓州市财政监督检查局</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7．邓州市财政专项资金管理处</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8．邓州市财政会计培训中心</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9．邓州市政府和社会资本合作管理中心</w:t>
      </w: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邓州市财政局2019年部门预算情况说明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财政局</w:t>
      </w:r>
      <w:r>
        <w:rPr>
          <w:rFonts w:ascii="Times New Roman" w:hAnsi="Times New Roman" w:eastAsia="仿宋_GB2312"/>
          <w:sz w:val="32"/>
          <w:szCs w:val="32"/>
        </w:rPr>
        <w:t>2019</w:t>
      </w:r>
      <w:r>
        <w:rPr>
          <w:rFonts w:ascii="Times New Roman" w:eastAsia="仿宋_GB2312"/>
          <w:sz w:val="32"/>
          <w:szCs w:val="32"/>
        </w:rPr>
        <w:t>年收入总计</w:t>
      </w:r>
      <w:r>
        <w:rPr>
          <w:rFonts w:ascii="Times New Roman" w:hAnsi="Times New Roman" w:eastAsia="仿宋_GB2312"/>
          <w:sz w:val="32"/>
          <w:szCs w:val="32"/>
        </w:rPr>
        <w:t>9657.85</w:t>
      </w:r>
      <w:r>
        <w:rPr>
          <w:rFonts w:ascii="Times New Roman" w:eastAsia="仿宋_GB2312"/>
          <w:sz w:val="32"/>
          <w:szCs w:val="32"/>
        </w:rPr>
        <w:t>万元，支出总计</w:t>
      </w:r>
      <w:r>
        <w:rPr>
          <w:rFonts w:ascii="Times New Roman" w:hAnsi="Times New Roman" w:eastAsia="仿宋_GB2312"/>
          <w:sz w:val="32"/>
          <w:szCs w:val="32"/>
        </w:rPr>
        <w:t>9657.85</w:t>
      </w:r>
      <w:r>
        <w:rPr>
          <w:rFonts w:ascii="Times New Roman" w:eastAsia="仿宋_GB2312"/>
          <w:sz w:val="32"/>
          <w:szCs w:val="32"/>
        </w:rPr>
        <w:t>万元，与</w:t>
      </w:r>
      <w:r>
        <w:rPr>
          <w:rFonts w:hint="eastAsia" w:ascii="Times New Roman" w:hAnsi="Times New Roman" w:eastAsia="仿宋_GB2312"/>
          <w:sz w:val="32"/>
          <w:szCs w:val="32"/>
        </w:rPr>
        <w:t>上年预算</w:t>
      </w:r>
      <w:r>
        <w:rPr>
          <w:rFonts w:ascii="Times New Roman" w:eastAsia="仿宋_GB2312"/>
          <w:sz w:val="32"/>
          <w:szCs w:val="32"/>
        </w:rPr>
        <w:t>相比，收支</w:t>
      </w:r>
      <w:r>
        <w:rPr>
          <w:rFonts w:hint="eastAsia" w:ascii="Times New Roman" w:eastAsia="仿宋_GB2312"/>
          <w:sz w:val="32"/>
          <w:szCs w:val="32"/>
        </w:rPr>
        <w:t>各</w:t>
      </w:r>
      <w:r>
        <w:rPr>
          <w:rFonts w:ascii="Times New Roman" w:eastAsia="仿宋_GB2312"/>
          <w:sz w:val="32"/>
          <w:szCs w:val="32"/>
        </w:rPr>
        <w:t>降低</w:t>
      </w:r>
      <w:r>
        <w:rPr>
          <w:rFonts w:ascii="Times New Roman" w:hAnsi="Times New Roman" w:eastAsia="仿宋_GB2312"/>
          <w:sz w:val="32"/>
          <w:szCs w:val="32"/>
        </w:rPr>
        <w:t>831.64</w:t>
      </w:r>
      <w:r>
        <w:rPr>
          <w:rFonts w:ascii="Times New Roman" w:eastAsia="仿宋_GB2312"/>
          <w:sz w:val="32"/>
          <w:szCs w:val="32"/>
        </w:rPr>
        <w:t>万元</w:t>
      </w:r>
      <w:r>
        <w:rPr>
          <w:rFonts w:hint="eastAsia" w:ascii="Times New Roman" w:eastAsia="仿宋_GB2312"/>
          <w:sz w:val="32"/>
          <w:szCs w:val="32"/>
        </w:rPr>
        <w:t>，下降7.93%</w:t>
      </w:r>
      <w:r>
        <w:rPr>
          <w:rFonts w:ascii="Times New Roman" w:eastAsia="仿宋_GB2312"/>
          <w:sz w:val="32"/>
          <w:szCs w:val="32"/>
        </w:rPr>
        <w:t>。主要原因是：提前下达转移支付支出减少。</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adjustRightInd w:val="0"/>
        <w:snapToGrid w:val="0"/>
        <w:spacing w:line="312"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财政局</w:t>
      </w:r>
      <w:r>
        <w:rPr>
          <w:rFonts w:ascii="Times New Roman" w:hAnsi="Times New Roman" w:eastAsia="仿宋_GB2312"/>
          <w:sz w:val="32"/>
          <w:szCs w:val="32"/>
        </w:rPr>
        <w:t>2019</w:t>
      </w:r>
      <w:r>
        <w:rPr>
          <w:rFonts w:ascii="Times New Roman" w:eastAsia="仿宋_GB2312"/>
          <w:sz w:val="32"/>
          <w:szCs w:val="32"/>
        </w:rPr>
        <w:t>年收入预算</w:t>
      </w:r>
      <w:r>
        <w:rPr>
          <w:rFonts w:ascii="Times New Roman" w:hAnsi="Times New Roman" w:eastAsia="仿宋_GB2312"/>
          <w:sz w:val="32"/>
          <w:szCs w:val="32"/>
        </w:rPr>
        <w:t>9657.85</w:t>
      </w:r>
      <w:r>
        <w:rPr>
          <w:rFonts w:ascii="Times New Roman" w:eastAsia="仿宋_GB2312"/>
          <w:sz w:val="32"/>
          <w:szCs w:val="32"/>
        </w:rPr>
        <w:t>万元，其中：一般公共预算</w:t>
      </w:r>
      <w:r>
        <w:rPr>
          <w:rFonts w:hint="eastAsia" w:ascii="Times New Roman" w:eastAsia="仿宋_GB2312"/>
          <w:sz w:val="32"/>
          <w:szCs w:val="32"/>
        </w:rPr>
        <w:t>收入</w:t>
      </w:r>
      <w:r>
        <w:rPr>
          <w:rFonts w:ascii="Times New Roman" w:hAnsi="Times New Roman" w:eastAsia="仿宋_GB2312"/>
          <w:sz w:val="32"/>
          <w:szCs w:val="32"/>
        </w:rPr>
        <w:t>8981.85</w:t>
      </w:r>
      <w:r>
        <w:rPr>
          <w:rFonts w:ascii="Times New Roman" w:eastAsia="仿宋_GB2312"/>
          <w:sz w:val="32"/>
          <w:szCs w:val="32"/>
        </w:rPr>
        <w:t>万元，</w:t>
      </w:r>
      <w:r>
        <w:rPr>
          <w:rFonts w:hint="eastAsia" w:ascii="Times New Roman" w:eastAsia="仿宋_GB2312"/>
          <w:sz w:val="32"/>
          <w:szCs w:val="32"/>
        </w:rPr>
        <w:t>债券转贷676万元，</w:t>
      </w:r>
      <w:r>
        <w:rPr>
          <w:rFonts w:ascii="Times New Roman" w:eastAsia="仿宋_GB2312"/>
          <w:sz w:val="32"/>
          <w:szCs w:val="32"/>
        </w:rPr>
        <w:t>政府性基金收入</w:t>
      </w:r>
      <w:r>
        <w:rPr>
          <w:rFonts w:ascii="Times New Roman" w:hAnsi="Times New Roman" w:eastAsia="仿宋_GB2312"/>
          <w:sz w:val="32"/>
          <w:szCs w:val="32"/>
        </w:rPr>
        <w:t>0</w:t>
      </w:r>
      <w:r>
        <w:rPr>
          <w:rFonts w:ascii="Times New Roman" w:eastAsia="仿宋_GB2312"/>
          <w:sz w:val="32"/>
          <w:szCs w:val="32"/>
        </w:rPr>
        <w:t>万元</w:t>
      </w:r>
      <w:r>
        <w:rPr>
          <w:rFonts w:hint="eastAsia" w:ascii="Times New Roman" w:eastAsia="仿宋_GB2312"/>
          <w:sz w:val="32"/>
          <w:szCs w:val="32"/>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7" w:firstLineChars="221"/>
        <w:rPr>
          <w:rFonts w:ascii="仿宋_GB2312" w:eastAsia="仿宋_GB2312"/>
          <w:sz w:val="32"/>
          <w:szCs w:val="32"/>
        </w:rPr>
      </w:pPr>
      <w:r>
        <w:rPr>
          <w:rFonts w:hint="eastAsia" w:ascii="仿宋_GB2312" w:eastAsia="仿宋_GB2312"/>
          <w:sz w:val="32"/>
          <w:szCs w:val="32"/>
        </w:rPr>
        <w:t xml:space="preserve">   </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财政局</w:t>
      </w:r>
      <w:r>
        <w:rPr>
          <w:rFonts w:ascii="Times New Roman" w:hAnsi="Times New Roman" w:eastAsia="仿宋_GB2312"/>
          <w:sz w:val="32"/>
          <w:szCs w:val="32"/>
        </w:rPr>
        <w:t>2019</w:t>
      </w:r>
      <w:r>
        <w:rPr>
          <w:rFonts w:ascii="Times New Roman" w:eastAsia="仿宋_GB2312"/>
          <w:sz w:val="32"/>
          <w:szCs w:val="32"/>
        </w:rPr>
        <w:t>年支出预算</w:t>
      </w:r>
      <w:r>
        <w:rPr>
          <w:rFonts w:ascii="Times New Roman" w:hAnsi="Times New Roman" w:eastAsia="仿宋_GB2312"/>
          <w:sz w:val="32"/>
          <w:szCs w:val="32"/>
        </w:rPr>
        <w:t>9657.85</w:t>
      </w:r>
      <w:r>
        <w:rPr>
          <w:rFonts w:ascii="Times New Roman" w:eastAsia="仿宋_GB2312"/>
          <w:sz w:val="32"/>
          <w:szCs w:val="32"/>
        </w:rPr>
        <w:t>万元，</w:t>
      </w:r>
      <w:r>
        <w:rPr>
          <w:rFonts w:hint="eastAsia" w:ascii="Times New Roman" w:eastAsia="仿宋_GB2312"/>
          <w:sz w:val="32"/>
          <w:szCs w:val="32"/>
        </w:rPr>
        <w:t>其中</w:t>
      </w:r>
      <w:r>
        <w:rPr>
          <w:rFonts w:ascii="Times New Roman" w:eastAsia="仿宋_GB2312"/>
          <w:sz w:val="32"/>
          <w:szCs w:val="32"/>
        </w:rPr>
        <w:t>：基本支出</w:t>
      </w:r>
      <w:r>
        <w:rPr>
          <w:rFonts w:ascii="Times New Roman" w:hAnsi="Times New Roman" w:eastAsia="仿宋_GB2312"/>
          <w:sz w:val="32"/>
          <w:szCs w:val="32"/>
        </w:rPr>
        <w:t>1792.95</w:t>
      </w:r>
      <w:r>
        <w:rPr>
          <w:rFonts w:ascii="Times New Roman" w:eastAsia="仿宋_GB2312"/>
          <w:sz w:val="32"/>
          <w:szCs w:val="32"/>
        </w:rPr>
        <w:t>万元，占</w:t>
      </w:r>
      <w:r>
        <w:rPr>
          <w:rFonts w:ascii="Times New Roman" w:hAnsi="Times New Roman" w:eastAsia="仿宋_GB2312"/>
          <w:sz w:val="32"/>
          <w:szCs w:val="32"/>
        </w:rPr>
        <w:t>18.6%</w:t>
      </w:r>
      <w:r>
        <w:rPr>
          <w:rFonts w:ascii="Times New Roman" w:eastAsia="仿宋_GB2312"/>
          <w:sz w:val="32"/>
          <w:szCs w:val="32"/>
        </w:rPr>
        <w:t>；项目支出</w:t>
      </w:r>
      <w:r>
        <w:rPr>
          <w:rFonts w:ascii="Times New Roman" w:hAnsi="Times New Roman" w:eastAsia="仿宋_GB2312"/>
          <w:sz w:val="32"/>
          <w:szCs w:val="32"/>
        </w:rPr>
        <w:t>7864.9</w:t>
      </w:r>
      <w:r>
        <w:rPr>
          <w:rFonts w:ascii="Times New Roman" w:eastAsia="仿宋_GB2312"/>
          <w:sz w:val="32"/>
          <w:szCs w:val="32"/>
        </w:rPr>
        <w:t>万元，占</w:t>
      </w:r>
      <w:r>
        <w:rPr>
          <w:rFonts w:ascii="Times New Roman" w:hAnsi="Times New Roman" w:eastAsia="仿宋_GB2312"/>
          <w:sz w:val="32"/>
          <w:szCs w:val="32"/>
        </w:rPr>
        <w:t>81.4%</w:t>
      </w:r>
      <w:r>
        <w:rPr>
          <w:rFonts w:ascii="Times New Roman" w:eastAsia="仿宋_GB2312"/>
          <w:sz w:val="32"/>
          <w:szCs w:val="32"/>
        </w:rPr>
        <w:t>。</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四、财政拨款收支情况说明</w:t>
      </w:r>
    </w:p>
    <w:p>
      <w:pPr>
        <w:ind w:firstLine="640" w:firstLineChars="200"/>
        <w:rPr>
          <w:rFonts w:ascii="仿宋_GB2312" w:eastAsia="仿宋_GB2312"/>
          <w:sz w:val="32"/>
          <w:szCs w:val="32"/>
        </w:rPr>
      </w:pPr>
      <w:r>
        <w:rPr>
          <w:rFonts w:hint="eastAsia" w:ascii="仿宋_GB2312" w:eastAsia="仿宋_GB2312"/>
          <w:sz w:val="32"/>
          <w:szCs w:val="32"/>
        </w:rPr>
        <w:t xml:space="preserve"> 财政局2019年财政拨款收入预算8901.85万元，支出预算8901.85万元，与2018年相比，收入支出增长1565.36万元，增长21.34%。主要原因是：人员经费、项目经费增加。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sz w:val="32"/>
          <w:szCs w:val="32"/>
        </w:rPr>
        <w:t>财政局2019</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sz w:val="32"/>
          <w:szCs w:val="32"/>
        </w:rPr>
        <w:t>8981.85</w:t>
      </w:r>
      <w:r>
        <w:rPr>
          <w:rFonts w:ascii="Times New Roman" w:hAnsi="Times New Roman" w:eastAsia="仿宋_GB2312" w:cs="Times New Roman"/>
          <w:sz w:val="32"/>
          <w:szCs w:val="32"/>
        </w:rPr>
        <w:t>万元。主要用于以下方面：</w:t>
      </w:r>
      <w:r>
        <w:rPr>
          <w:rFonts w:hint="eastAsia" w:ascii="Times New Roman" w:hAnsi="Times New Roman" w:eastAsia="仿宋_GB2312"/>
          <w:sz w:val="32"/>
          <w:szCs w:val="32"/>
        </w:rPr>
        <w:t>一般公共服务（类）支出8561.31万元，占95.3%；</w:t>
      </w:r>
      <w:bookmarkStart w:id="0" w:name="_GoBack"/>
      <w:bookmarkEnd w:id="0"/>
      <w:r>
        <w:rPr>
          <w:rFonts w:hint="eastAsia" w:ascii="Times New Roman" w:hAnsi="Times New Roman" w:eastAsia="仿宋_GB2312"/>
          <w:sz w:val="32"/>
          <w:szCs w:val="32"/>
        </w:rPr>
        <w:t>社会保障和就业（类）支出228.87万元，占2.5%，医疗卫生与计划生育（类）支出74.47万元，占0.9%，住房保障（类）支出117.2万元，占1.3%。</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六、支出预算经济分类情况说明</w:t>
      </w:r>
    </w:p>
    <w:p>
      <w:pPr>
        <w:spacing w:line="600" w:lineRule="exact"/>
        <w:ind w:firstLine="640" w:firstLineChars="200"/>
        <w:rPr>
          <w:rFonts w:ascii="仿宋_GB2312" w:eastAsia="仿宋_GB2312"/>
          <w:b/>
          <w:color w:val="FF0000"/>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年起全面实施支出经济分类科目改革，根据政府预算管理和部门预算管理的不同特点，分设部门预算支出经济分类科目和政府预算支出经济分类科目，两套科目之间保持对应关系。我局《支出经济分类汇总表》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七、政府性基金预算支出预算情况说明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我局2019年没有使用政府性基金预算拨款安排的支出。</w:t>
      </w:r>
    </w:p>
    <w:p>
      <w:pPr>
        <w:ind w:firstLine="640" w:firstLineChars="200"/>
        <w:rPr>
          <w:rFonts w:ascii="黑体" w:eastAsia="黑体"/>
          <w:sz w:val="32"/>
          <w:szCs w:val="32"/>
        </w:rPr>
      </w:pPr>
      <w:r>
        <w:rPr>
          <w:rFonts w:hint="eastAsia" w:ascii="黑体" w:eastAsia="黑体"/>
          <w:sz w:val="32"/>
          <w:szCs w:val="32"/>
        </w:rPr>
        <w:t>八、“三公”经费支出预算情况说明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2019年“三公”经费预算为89.68万元。比2018年减24.43万元。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（一）因公出国（境）费</w:t>
      </w:r>
      <w:r>
        <w:rPr>
          <w:rFonts w:hint="eastAsia" w:ascii="仿宋_GB2312" w:eastAsia="仿宋_GB2312"/>
          <w:sz w:val="32"/>
          <w:szCs w:val="32"/>
        </w:rPr>
        <w:t>0万元，</w:t>
      </w:r>
      <w:r>
        <w:rPr>
          <w:rFonts w:hint="eastAsia" w:ascii="Times New Roman" w:hAnsi="Times New Roman" w:eastAsia="仿宋_GB2312" w:cs="仿宋_GB2312"/>
          <w:sz w:val="32"/>
          <w:szCs w:val="32"/>
          <w:lang w:bidi="ar"/>
        </w:rPr>
        <w:t>主要用于单位工作人员公务出国（境）的住宿费、旅费、伙食补助费、杂费、培训费等支出,与上年持平。</w:t>
      </w:r>
    </w:p>
    <w:p>
      <w:pPr>
        <w:ind w:firstLine="643" w:firstLineChars="200"/>
        <w:rPr>
          <w:rFonts w:ascii="仿宋_GB2312" w:eastAsia="仿宋_GB2312"/>
          <w:sz w:val="32"/>
          <w:szCs w:val="32"/>
        </w:rPr>
      </w:pPr>
      <w:r>
        <w:rPr>
          <w:rFonts w:hint="eastAsia" w:ascii="仿宋_GB2312" w:eastAsia="仿宋_GB2312"/>
          <w:b/>
          <w:bCs/>
          <w:sz w:val="32"/>
          <w:szCs w:val="32"/>
        </w:rPr>
        <w:t>（二）公务用车购置费及维护费</w:t>
      </w:r>
      <w:r>
        <w:rPr>
          <w:rFonts w:hint="eastAsia" w:ascii="仿宋_GB2312" w:eastAsia="仿宋_GB2312"/>
          <w:sz w:val="32"/>
          <w:szCs w:val="32"/>
        </w:rPr>
        <w:t>38.9万元，其中，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公务用车维护费38.9万元。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bidi="ar"/>
        </w:rPr>
        <w:t>18年持平，均为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bidi="ar"/>
        </w:rPr>
        <w:t>18年减少15.55万元。主要原因：按照中央八项规定，减少三公经费开支。</w:t>
      </w:r>
    </w:p>
    <w:p>
      <w:pPr>
        <w:ind w:firstLine="643" w:firstLineChars="200"/>
        <w:rPr>
          <w:rFonts w:ascii="仿宋_GB2312" w:eastAsia="仿宋_GB2312"/>
          <w:sz w:val="32"/>
          <w:szCs w:val="32"/>
        </w:rPr>
      </w:pPr>
      <w:r>
        <w:rPr>
          <w:rFonts w:hint="eastAsia" w:ascii="仿宋_GB2312" w:eastAsia="仿宋_GB2312"/>
          <w:b/>
          <w:bCs/>
          <w:sz w:val="32"/>
          <w:szCs w:val="32"/>
        </w:rPr>
        <w:t>（三）公务接待费</w:t>
      </w:r>
      <w:r>
        <w:rPr>
          <w:rFonts w:hint="eastAsia" w:ascii="仿宋_GB2312" w:eastAsia="仿宋_GB2312"/>
          <w:sz w:val="32"/>
          <w:szCs w:val="32"/>
        </w:rPr>
        <w:t>50.78万元。</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bidi="ar"/>
        </w:rPr>
        <w:t>18年减少8.88万元。主要原因：按照中央八项规定，减少三公经费开支。</w:t>
      </w:r>
    </w:p>
    <w:p>
      <w:pPr>
        <w:ind w:firstLine="709"/>
        <w:rPr>
          <w:rFonts w:ascii="黑体" w:eastAsia="黑体"/>
          <w:sz w:val="32"/>
          <w:szCs w:val="32"/>
        </w:rPr>
      </w:pPr>
      <w:r>
        <w:rPr>
          <w:rFonts w:hint="eastAsia" w:ascii="黑体" w:eastAsia="黑体"/>
          <w:sz w:val="32"/>
          <w:szCs w:val="32"/>
        </w:rPr>
        <w:t>九、其他重要事项的情况说明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财政局2019年机关运行经费支出预算129.49万元，主要保障机关人员机构正常运转及正常履职需要。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我局2019年无政府采购预算安排。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我局2019年预算项目拟组织对</w:t>
      </w:r>
      <w:r>
        <w:rPr>
          <w:rFonts w:hint="eastAsia" w:ascii="Times New Roman" w:hAnsi="Times New Roman" w:eastAsia="仿宋_GB2312"/>
          <w:sz w:val="32"/>
          <w:szCs w:val="32"/>
        </w:rPr>
        <w:t>1个一事一议基础设施建设项目进行预算绩效评价，涉及资金135万元。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sz w:val="32"/>
          <w:szCs w:val="32"/>
        </w:rPr>
      </w:pPr>
      <w:r>
        <w:rPr>
          <w:rFonts w:hint="eastAsia" w:ascii="仿宋_GB2312" w:eastAsia="仿宋_GB2312"/>
          <w:sz w:val="32"/>
          <w:szCs w:val="32"/>
        </w:rPr>
        <w:t>2018年期末，我局共有车辆7辆，其中：一般公务用车7辆。单价50万元以上通用设备0台，单位价值100万元以上专用设备0台。</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我局暂无负责的专项转移支付项目。</w:t>
      </w:r>
    </w:p>
    <w:p>
      <w:pPr>
        <w:ind w:firstLine="709"/>
        <w:rPr>
          <w:rFonts w:ascii="仿宋_GB2312" w:eastAsia="仿宋_GB2312"/>
          <w:color w:val="FF0000"/>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B1F1F"/>
    <w:rsid w:val="006E0667"/>
    <w:rsid w:val="00715345"/>
    <w:rsid w:val="00733121"/>
    <w:rsid w:val="007A79BD"/>
    <w:rsid w:val="008747E3"/>
    <w:rsid w:val="00921CA8"/>
    <w:rsid w:val="00972071"/>
    <w:rsid w:val="00984F09"/>
    <w:rsid w:val="009D0D41"/>
    <w:rsid w:val="00AC7B36"/>
    <w:rsid w:val="00AD7AE6"/>
    <w:rsid w:val="00BC6702"/>
    <w:rsid w:val="00C52826"/>
    <w:rsid w:val="00D72B10"/>
    <w:rsid w:val="00E13A03"/>
    <w:rsid w:val="00E36534"/>
    <w:rsid w:val="00ED2B32"/>
    <w:rsid w:val="04C24CD3"/>
    <w:rsid w:val="066D0C7E"/>
    <w:rsid w:val="06BE1DED"/>
    <w:rsid w:val="07EC657B"/>
    <w:rsid w:val="0C956DB9"/>
    <w:rsid w:val="10BB1A3D"/>
    <w:rsid w:val="10D93902"/>
    <w:rsid w:val="17024C77"/>
    <w:rsid w:val="19B850CA"/>
    <w:rsid w:val="1D6544B8"/>
    <w:rsid w:val="1E1C1FAB"/>
    <w:rsid w:val="20F53F6B"/>
    <w:rsid w:val="21172D08"/>
    <w:rsid w:val="22AC43D0"/>
    <w:rsid w:val="24327BE8"/>
    <w:rsid w:val="3168305B"/>
    <w:rsid w:val="33954D0A"/>
    <w:rsid w:val="39065879"/>
    <w:rsid w:val="3AEB3A7E"/>
    <w:rsid w:val="3BBC1D2C"/>
    <w:rsid w:val="423D3584"/>
    <w:rsid w:val="446778BB"/>
    <w:rsid w:val="471314C5"/>
    <w:rsid w:val="49C46FE1"/>
    <w:rsid w:val="4A183A49"/>
    <w:rsid w:val="4B17485A"/>
    <w:rsid w:val="4B901AAA"/>
    <w:rsid w:val="4DC340C1"/>
    <w:rsid w:val="4EB23847"/>
    <w:rsid w:val="58802D5A"/>
    <w:rsid w:val="59CD76D7"/>
    <w:rsid w:val="5AB45193"/>
    <w:rsid w:val="5CA8687F"/>
    <w:rsid w:val="5D963B0A"/>
    <w:rsid w:val="60AF768B"/>
    <w:rsid w:val="60D15B65"/>
    <w:rsid w:val="60D3160D"/>
    <w:rsid w:val="67471495"/>
    <w:rsid w:val="696A15A2"/>
    <w:rsid w:val="6DD00BE6"/>
    <w:rsid w:val="6F9B7A32"/>
    <w:rsid w:val="72356867"/>
    <w:rsid w:val="72CE3402"/>
    <w:rsid w:val="7701693E"/>
    <w:rsid w:val="78BD42BC"/>
    <w:rsid w:val="79D11516"/>
    <w:rsid w:val="7B53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579</Words>
  <Characters>3303</Characters>
  <Lines>27</Lines>
  <Paragraphs>7</Paragraphs>
  <TotalTime>10</TotalTime>
  <ScaleCrop>false</ScaleCrop>
  <LinksUpToDate>false</LinksUpToDate>
  <CharactersWithSpaces>3875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Mr.</cp:lastModifiedBy>
  <cp:lastPrinted>2021-03-23T01:12:00Z</cp:lastPrinted>
  <dcterms:modified xsi:type="dcterms:W3CDTF">2021-06-10T07:41:47Z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