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举借债务情况说明</w:t>
      </w:r>
    </w:p>
    <w:p>
      <w:pPr>
        <w:jc w:val="center"/>
      </w:pP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政府债务限额情况。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2021年省财政厅下达我市政府债务限额为719714万元，其中：一般债务限额180637万元，专项债务限额539077万元。截至2021年底，我市政府债务规模为670829万元，其中：一般债务166458万元，专项债务504371万元，均在省财政厅下达的政府债务限额内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政府债务增减情况。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2021年，我市纳入全省政府性债务管理系统的政府债务670829万元，较上年增加215275万元，包括一般债务166458万元，较上年增加19835万元；专项债务504371万元，较上年增加195440万元。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．转贷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政府</w:t>
      </w:r>
      <w:r>
        <w:rPr>
          <w:rFonts w:hint="eastAsia" w:ascii="Times New Roman" w:hAnsi="Times New Roman" w:eastAsia="仿宋_GB2312"/>
          <w:sz w:val="32"/>
          <w:szCs w:val="32"/>
        </w:rPr>
        <w:t>债券资金情况。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2021年，河南省财政厅共转贷我市政府债券资金242700万元，其中：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（1）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再融资一般债券19200万元，全部偿还当年到期的一般政府债券本金。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再融资专项债券1600万元，全部偿还当年到期的专项政府债券本金。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（2）新增债券221900万元：纳入一般公共预算管理的新增一般债券19900万元，纳入政府基金预算管理的新增专项债券202000万元。</w:t>
      </w:r>
    </w:p>
    <w:p>
      <w:pPr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 政府债</w:t>
      </w:r>
      <w:r>
        <w:rPr>
          <w:rFonts w:hint="eastAsia" w:ascii="Times New Roman" w:hAnsi="Times New Roman" w:eastAsia="仿宋_GB2312"/>
          <w:sz w:val="32"/>
          <w:szCs w:val="32"/>
        </w:rPr>
        <w:t>券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还本付息情况。2021年，我市政府债</w:t>
      </w:r>
      <w:r>
        <w:rPr>
          <w:rFonts w:hint="eastAsia" w:ascii="Times New Roman" w:hAnsi="Times New Roman" w:eastAsia="仿宋_GB2312"/>
          <w:sz w:val="32"/>
          <w:szCs w:val="32"/>
        </w:rPr>
        <w:t>券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还本付息总额为44672万元，其中：一般债</w:t>
      </w:r>
      <w:r>
        <w:rPr>
          <w:rFonts w:hint="eastAsia" w:ascii="Times New Roman" w:hAnsi="Times New Roman" w:eastAsia="仿宋_GB2312"/>
          <w:sz w:val="32"/>
          <w:szCs w:val="32"/>
        </w:rPr>
        <w:t>券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还本支出19327万元，付息支出5125万元；专项债</w:t>
      </w:r>
      <w:r>
        <w:rPr>
          <w:rFonts w:hint="eastAsia" w:ascii="Times New Roman" w:hAnsi="Times New Roman" w:eastAsia="仿宋_GB2312"/>
          <w:sz w:val="32"/>
          <w:szCs w:val="32"/>
        </w:rPr>
        <w:t>券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还本支出8160万元，付息支出12060万元。</w:t>
      </w:r>
    </w:p>
    <w:p>
      <w:pPr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2022年，我市年初预算安排政府债</w:t>
      </w:r>
      <w:r>
        <w:rPr>
          <w:rFonts w:hint="eastAsia" w:ascii="Times New Roman" w:hAnsi="Times New Roman" w:eastAsia="仿宋_GB2312"/>
          <w:sz w:val="32"/>
          <w:szCs w:val="32"/>
        </w:rPr>
        <w:t>券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还本付息总额为85697万元，其中：一般债</w:t>
      </w:r>
      <w:r>
        <w:rPr>
          <w:rFonts w:hint="eastAsia" w:ascii="Times New Roman" w:hAnsi="Times New Roman" w:eastAsia="仿宋_GB2312"/>
          <w:sz w:val="32"/>
          <w:szCs w:val="32"/>
        </w:rPr>
        <w:t>券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还本支出31225万元，一般债</w:t>
      </w:r>
      <w:r>
        <w:rPr>
          <w:rFonts w:hint="eastAsia" w:ascii="Times New Roman" w:hAnsi="Times New Roman" w:eastAsia="仿宋_GB2312"/>
          <w:sz w:val="32"/>
          <w:szCs w:val="32"/>
        </w:rPr>
        <w:t>券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付息支出5625万元；专项债</w:t>
      </w:r>
      <w:r>
        <w:rPr>
          <w:rFonts w:hint="eastAsia" w:ascii="Times New Roman" w:hAnsi="Times New Roman" w:eastAsia="仿宋_GB2312"/>
          <w:sz w:val="32"/>
          <w:szCs w:val="32"/>
        </w:rPr>
        <w:t>券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还本支出30696万元，付息支出18151万元。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E4E7F"/>
    <w:multiLevelType w:val="singleLevel"/>
    <w:tmpl w:val="F10E4E7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5B66"/>
    <w:rsid w:val="15DB6DAB"/>
    <w:rsid w:val="1C116673"/>
    <w:rsid w:val="35563F92"/>
    <w:rsid w:val="35FA1ABA"/>
    <w:rsid w:val="36DA2BC4"/>
    <w:rsid w:val="3E693877"/>
    <w:rsid w:val="4744349B"/>
    <w:rsid w:val="594A631C"/>
    <w:rsid w:val="6C326291"/>
    <w:rsid w:val="750B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2022-05-10T09:42:33Z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