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94" w:firstLineChars="304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邓州市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2022年转移支付情况说明</w:t>
      </w:r>
    </w:p>
    <w:p>
      <w:pPr>
        <w:ind w:left="0" w:leftChars="0" w:firstLine="1094" w:firstLineChars="304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一、一般公共预算上级补助收入情况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"/>
          <w:sz w:val="32"/>
          <w:szCs w:val="32"/>
          <w:highlight w:val="yellow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上级补助收入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476007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万元，其中：返还性收入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23216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万元，一般性转移支付收入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444528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万元，专项转移支付收入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8263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万元。具体项目情况是：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、返还性收入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23216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万元，其中，增值税税收返还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5099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万元，消费税税收返还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1109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万元，所得税基数返还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562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万元，成品油税费改革税收返还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2867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万元，增值税收入划分税收返还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13579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、一般性转移支付收入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444528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万元，其中，财力性转移支付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147499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万元，固定数额补助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36002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万元，产粮（油）大县奖励资金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9580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万元，重点生态功能区转移支付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25301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万元，欠发达地区转移支付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4906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万元，公共安全共同财政事权转移支付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2438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万元，教育共同财政事权转移支付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36168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万元，文化旅游体育与传媒共同财政事权转移支付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646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万元，社会保障和就业共同财政事权转移支付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55628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万元，医疗卫生共同财政事权转移支付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77491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万元，节能环保共同财政事权转移支付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141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万元，农林水共同财政事权转移支付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37564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万元，交通运输共同财政事权转移支付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5427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万元，结算补助及其他一般性补助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5737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仿宋" w:eastAsia="仿宋" w:cs="Times New Roman"/>
          <w:kern w:val="2"/>
          <w:sz w:val="32"/>
          <w:szCs w:val="32"/>
          <w:lang w:val="en-US" w:eastAsia="zh-CN" w:bidi="ar"/>
        </w:rPr>
        <w:t>、专项转移支付收入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8263</w:t>
      </w:r>
      <w:r>
        <w:rPr>
          <w:rFonts w:hint="eastAsia" w:ascii="Times New Roman" w:hAnsi="仿宋" w:eastAsia="仿宋" w:cs="Times New Roman"/>
          <w:kern w:val="2"/>
          <w:sz w:val="32"/>
          <w:szCs w:val="32"/>
          <w:lang w:val="en-US" w:eastAsia="zh-CN" w:bidi="ar"/>
        </w:rPr>
        <w:t>万元，其中，市场监管服务专项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45</w:t>
      </w:r>
      <w:r>
        <w:rPr>
          <w:rFonts w:hint="eastAsia" w:ascii="Times New Roman" w:hAnsi="仿宋" w:eastAsia="仿宋" w:cs="Times New Roman"/>
          <w:kern w:val="2"/>
          <w:sz w:val="32"/>
          <w:szCs w:val="32"/>
          <w:lang w:val="en-US" w:eastAsia="zh-CN" w:bidi="ar"/>
        </w:rPr>
        <w:t>万元，技术研究与开发专项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104</w:t>
      </w:r>
      <w:r>
        <w:rPr>
          <w:rFonts w:hint="eastAsia" w:ascii="Times New Roman" w:hAnsi="仿宋" w:eastAsia="仿宋" w:cs="Times New Roman"/>
          <w:kern w:val="2"/>
          <w:sz w:val="32"/>
          <w:szCs w:val="32"/>
          <w:lang w:val="en-US" w:eastAsia="zh-CN" w:bidi="ar"/>
        </w:rPr>
        <w:t>万元，公共卫生服务补助专项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393</w:t>
      </w:r>
      <w:r>
        <w:rPr>
          <w:rFonts w:hint="eastAsia" w:ascii="Times New Roman" w:hAnsi="仿宋" w:eastAsia="仿宋" w:cs="Times New Roman"/>
          <w:kern w:val="2"/>
          <w:sz w:val="32"/>
          <w:szCs w:val="32"/>
          <w:lang w:val="en-US" w:eastAsia="zh-CN" w:bidi="ar"/>
        </w:rPr>
        <w:t>万元，农业农村发展专项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7721</w:t>
      </w:r>
      <w:r>
        <w:rPr>
          <w:rFonts w:hint="eastAsia" w:ascii="Times New Roman" w:hAnsi="仿宋" w:eastAsia="仿宋" w:cs="Times New Roman"/>
          <w:kern w:val="2"/>
          <w:sz w:val="32"/>
          <w:szCs w:val="32"/>
          <w:lang w:val="en-US" w:eastAsia="zh-CN" w:bidi="ar"/>
        </w:rPr>
        <w:t>万元。</w:t>
      </w:r>
    </w:p>
    <w:p>
      <w:pPr>
        <w:ind w:left="0" w:leftChars="0" w:firstLine="640" w:firstLineChars="200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二、政府性基金预算上级补助收入情况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政府性基金上级补助收入4868万元，其中：水利移民扶持专项3381万元；库区建设专项157万元；彩票公益金专项1330万元。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国有资本经营预算上级补助收入情况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国有资本经营预算上级补助收入119万元，为国有企业退休人员社会化管理补助专项119万元。</w:t>
      </w:r>
    </w:p>
    <w:p>
      <w:pPr>
        <w:ind w:left="0" w:leftChars="0"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627F6"/>
    <w:rsid w:val="1F6341F9"/>
    <w:rsid w:val="2C5300D6"/>
    <w:rsid w:val="2DFE6DE2"/>
    <w:rsid w:val="3DD06EEB"/>
    <w:rsid w:val="4F14146E"/>
    <w:rsid w:val="503A206A"/>
    <w:rsid w:val="51B60F88"/>
    <w:rsid w:val="67AB2EAB"/>
    <w:rsid w:val="6877074A"/>
    <w:rsid w:val="7E63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2022-05-16T03:44:39Z</cp:lastPrinted>
  <dcterms:modified xsi:type="dcterms:W3CDTF">2022-05-16T03:44:54Z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