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2021年</w:t>
      </w:r>
      <w:r>
        <w:rPr>
          <w:rFonts w:hint="eastAsia" w:ascii="方正小标宋简体" w:hAnsi="黑体" w:eastAsia="方正小标宋简体"/>
          <w:w w:val="90"/>
          <w:sz w:val="44"/>
          <w:szCs w:val="32"/>
          <w:lang w:val="en-US" w:eastAsia="zh-CN"/>
        </w:rPr>
        <w:t>中共邓州市委办公室</w:t>
      </w:r>
      <w:r>
        <w:rPr>
          <w:rFonts w:hint="eastAsia" w:ascii="方正小标宋简体" w:hAnsi="黑体" w:eastAsia="方正小标宋简体"/>
          <w:w w:val="90"/>
          <w:sz w:val="44"/>
          <w:szCs w:val="32"/>
        </w:rPr>
        <w:t>单位预算</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 xml:space="preserve">第一部分  </w:t>
      </w:r>
      <w:r>
        <w:rPr>
          <w:rFonts w:hint="eastAsia" w:ascii="黑体" w:eastAsia="黑体" w:hAnsiTheme="majorEastAsia"/>
          <w:sz w:val="32"/>
          <w:szCs w:val="32"/>
          <w:lang w:val="en-US" w:eastAsia="zh-CN"/>
        </w:rPr>
        <w:t>中共</w:t>
      </w:r>
      <w:r>
        <w:rPr>
          <w:rFonts w:hint="eastAsia" w:ascii="黑体" w:eastAsia="黑体" w:hAnsiTheme="majorEastAsia"/>
          <w:sz w:val="32"/>
          <w:szCs w:val="32"/>
        </w:rPr>
        <w:t>邓州市</w:t>
      </w:r>
      <w:r>
        <w:rPr>
          <w:rFonts w:hint="eastAsia" w:ascii="黑体" w:eastAsia="黑体" w:hAnsiTheme="majorEastAsia"/>
          <w:sz w:val="32"/>
          <w:szCs w:val="32"/>
          <w:lang w:val="en-US" w:eastAsia="zh-CN"/>
        </w:rPr>
        <w:t>委办公室</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 xml:space="preserve">第二部分 </w:t>
      </w:r>
      <w:r>
        <w:rPr>
          <w:rFonts w:hint="eastAsia" w:ascii="黑体" w:eastAsia="黑体" w:hAnsiTheme="majorEastAsia"/>
          <w:sz w:val="32"/>
          <w:szCs w:val="32"/>
          <w:lang w:val="en-US" w:eastAsia="zh-CN"/>
        </w:rPr>
        <w:t>中共</w:t>
      </w:r>
      <w:r>
        <w:rPr>
          <w:rFonts w:hint="eastAsia" w:ascii="黑体" w:eastAsia="黑体" w:hAnsiTheme="majorEastAsia"/>
          <w:sz w:val="32"/>
          <w:szCs w:val="32"/>
        </w:rPr>
        <w:t>邓州市</w:t>
      </w:r>
      <w:r>
        <w:rPr>
          <w:rFonts w:hint="eastAsia" w:ascii="黑体" w:eastAsia="黑体" w:hAnsiTheme="majorEastAsia"/>
          <w:sz w:val="32"/>
          <w:szCs w:val="32"/>
          <w:lang w:val="en-US" w:eastAsia="zh-CN"/>
        </w:rPr>
        <w:t>委办公室</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lang w:val="en-US" w:eastAsia="zh-CN"/>
        </w:rPr>
        <w:t>中共</w:t>
      </w:r>
      <w:r>
        <w:rPr>
          <w:rFonts w:hint="eastAsia" w:ascii="黑体" w:eastAsia="黑体" w:hAnsiTheme="majorEastAsia"/>
          <w:sz w:val="32"/>
          <w:szCs w:val="32"/>
        </w:rPr>
        <w:t>邓州市</w:t>
      </w:r>
      <w:r>
        <w:rPr>
          <w:rFonts w:hint="eastAsia" w:ascii="黑体" w:eastAsia="黑体" w:hAnsiTheme="majorEastAsia"/>
          <w:sz w:val="32"/>
          <w:szCs w:val="32"/>
          <w:lang w:val="en-US" w:eastAsia="zh-CN"/>
        </w:rPr>
        <w:t>委办公室</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一</w:t>
      </w:r>
      <w:r>
        <w:rPr>
          <w:rFonts w:ascii="仿宋_GB2312" w:hAnsi="宋体" w:eastAsia="仿宋_GB2312" w:cs="仿宋_GB2312"/>
          <w:color w:val="000000"/>
          <w:kern w:val="0"/>
          <w:sz w:val="31"/>
          <w:szCs w:val="31"/>
          <w:lang w:val="en-US" w:eastAsia="zh-CN" w:bidi="ar"/>
        </w:rPr>
        <w:t>）负责市委和市委办公室文件，市委</w:t>
      </w:r>
      <w:r>
        <w:rPr>
          <w:rFonts w:hint="default" w:ascii="仿宋_GB2312" w:hAnsi="宋体" w:eastAsia="仿宋_GB2312" w:cs="仿宋_GB2312"/>
          <w:color w:val="000000"/>
          <w:kern w:val="0"/>
          <w:sz w:val="31"/>
          <w:szCs w:val="31"/>
          <w:lang w:val="en-US" w:eastAsia="zh-CN" w:bidi="ar"/>
        </w:rPr>
        <w:t>向上级的报告，市委领导同志讲话的起草、修改、审核和印发工作，负责市委及市委办公室规范性文件向上级办公厅（室）法规处报备工作；</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二</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负责上级及外地领导同志来邓视察等公务活动的组织协调。负责推动市委决策部署落实，承担市委运行保障具体事务。</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三</w:t>
      </w:r>
      <w:r>
        <w:rPr>
          <w:rFonts w:hint="default" w:ascii="仿宋_GB2312" w:hAnsi="宋体" w:eastAsia="仿宋_GB2312" w:cs="仿宋_GB2312"/>
          <w:color w:val="000000"/>
          <w:kern w:val="0"/>
          <w:sz w:val="31"/>
          <w:szCs w:val="31"/>
          <w:lang w:val="en-US" w:eastAsia="zh-CN" w:bidi="ar"/>
        </w:rPr>
        <w:t>）负责市委各类会议的会务工作和市委日常工作、重大活动的组织安排；</w:t>
      </w:r>
      <w:r>
        <w:rPr>
          <w:rFonts w:hint="eastAsia" w:ascii="仿宋_GB2312" w:hAnsi="宋体" w:eastAsia="仿宋_GB2312" w:cs="仿宋_GB2312"/>
          <w:color w:val="000000"/>
          <w:kern w:val="0"/>
          <w:sz w:val="31"/>
          <w:szCs w:val="31"/>
          <w:lang w:val="en-US" w:eastAsia="zh-CN" w:bidi="ar"/>
        </w:rPr>
        <w:t>负责市委文件的印发管理工作。</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四</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围绕上级市委决策部署和市委中心工作收集信息、反映动态、综合调研、会商研判、提供信息服务。负责市委总值班工作和领导同志外出报备工作。</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五</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负责推动市委国家安全委员会工作部署贯彻落实。</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（六）负责承担市委、市委办公室档案管理工作。</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（七）负责乡镇（街、区）、市直单位的绩效考核工作。</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（八）指导全市党委系统信息网络和电子政务内网的建设工作；负责党委系统电子政务内网工作人员业务培训工作。</w:t>
      </w:r>
    </w:p>
    <w:p>
      <w:pPr>
        <w:keepNext w:val="0"/>
        <w:keepLines w:val="0"/>
        <w:widowControl/>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（九）负责承担市委深改委日常工作，负责筹备和服务市委深改委会议；负责建立改革工作台账，对各部门全面深化改革工作的统筹、协调、督促、检查、推动。</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十</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负责市委密码工作领导小组、市委保密委员会的日常工作，依法履行机要密码、保密行政管理职能。</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十一</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拟订全市机要、保密发展规划和工作计划；查处全市机要密码失泄密事件和违法违规研制，使用密码行为。负责全市机要密码工作人员管理的相关事宜，组织专业教育和培训。</w:t>
      </w:r>
    </w:p>
    <w:p>
      <w:pPr>
        <w:keepNext w:val="0"/>
        <w:keepLines w:val="0"/>
        <w:widowControl/>
        <w:suppressLineNumbers w:val="0"/>
        <w:ind w:firstLine="620" w:firstLineChars="200"/>
        <w:jc w:val="left"/>
        <w:rPr>
          <w:rFonts w:ascii="仿宋_GB2312" w:eastAsia="仿宋_GB2312"/>
          <w:sz w:val="32"/>
          <w:szCs w:val="32"/>
        </w:rPr>
      </w:pP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十二</w:t>
      </w:r>
      <w:r>
        <w:rPr>
          <w:rFonts w:hint="default" w:ascii="仿宋_GB2312" w:hAnsi="宋体" w:eastAsia="仿宋_GB2312" w:cs="仿宋_GB2312"/>
          <w:color w:val="000000"/>
          <w:kern w:val="0"/>
          <w:sz w:val="31"/>
          <w:szCs w:val="31"/>
          <w:lang w:val="en-US" w:eastAsia="zh-CN" w:bidi="ar"/>
        </w:rPr>
        <w:t>）完成市委领导交办的</w:t>
      </w:r>
      <w:r>
        <w:rPr>
          <w:rFonts w:ascii="仿宋_GB2312" w:hAnsi="宋体" w:eastAsia="仿宋_GB2312" w:cs="仿宋_GB2312"/>
          <w:color w:val="000000"/>
          <w:kern w:val="0"/>
          <w:sz w:val="31"/>
          <w:szCs w:val="31"/>
          <w:lang w:val="en-US" w:eastAsia="zh-CN" w:bidi="ar"/>
        </w:rPr>
        <w:t>其他任务。</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lang w:val="en-US" w:eastAsia="zh-CN"/>
        </w:rPr>
        <w:t>中共</w:t>
      </w:r>
      <w:r>
        <w:rPr>
          <w:rFonts w:hint="eastAsia" w:ascii="仿宋_GB2312" w:eastAsia="仿宋_GB2312"/>
          <w:sz w:val="32"/>
          <w:szCs w:val="32"/>
        </w:rPr>
        <w:t>邓州市</w:t>
      </w:r>
      <w:r>
        <w:rPr>
          <w:rFonts w:hint="eastAsia" w:ascii="仿宋_GB2312" w:eastAsia="仿宋_GB2312"/>
          <w:sz w:val="32"/>
          <w:szCs w:val="32"/>
          <w:lang w:val="en-US" w:eastAsia="zh-CN"/>
        </w:rPr>
        <w:t>委办公室单位</w:t>
      </w:r>
      <w:r>
        <w:rPr>
          <w:rFonts w:hint="eastAsia" w:ascii="仿宋_GB2312" w:eastAsia="仿宋_GB2312"/>
          <w:sz w:val="32"/>
          <w:szCs w:val="32"/>
        </w:rPr>
        <w:t>预算包括</w:t>
      </w:r>
      <w:r>
        <w:rPr>
          <w:rFonts w:hint="eastAsia" w:ascii="仿宋_GB2312" w:eastAsia="仿宋_GB2312"/>
          <w:sz w:val="32"/>
          <w:szCs w:val="32"/>
          <w:lang w:eastAsia="zh-CN"/>
        </w:rPr>
        <w:t>：</w:t>
      </w:r>
      <w:r>
        <w:rPr>
          <w:rFonts w:hint="eastAsia" w:ascii="仿宋_GB2312" w:hAnsi="宋体" w:eastAsia="仿宋_GB2312" w:cs="仿宋_GB2312"/>
          <w:color w:val="000000"/>
          <w:kern w:val="0"/>
          <w:sz w:val="31"/>
          <w:szCs w:val="31"/>
          <w:lang w:val="en-US" w:eastAsia="zh-CN" w:bidi="ar"/>
        </w:rPr>
        <w:t>常委办公室、秘书一科、秘书二科、秘书三科、主体责任科、文电科、会务科、市委总值班室、市委法规室（市委法律顾问室）、信息科、政策研究室、市委绩效管理办公室、电子政务科、信访工作科、国家安全综合协调科、外事管理科、档案监督管理科、改革科、综合科、机要科（密码管理科）、保密科</w:t>
      </w:r>
      <w:r>
        <w:rPr>
          <w:rFonts w:hint="eastAsia" w:ascii="仿宋_GB2312" w:eastAsia="仿宋_GB2312"/>
          <w:sz w:val="32"/>
          <w:szCs w:val="32"/>
          <w:lang w:eastAsia="zh-CN"/>
        </w:rPr>
        <w:t>的预算的预算。</w:t>
      </w:r>
      <w:bookmarkStart w:id="0" w:name="_GoBack"/>
      <w:bookmarkEnd w:id="0"/>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lang w:val="en-US" w:eastAsia="zh-CN"/>
        </w:rPr>
        <w:t>中共</w:t>
      </w:r>
      <w:r>
        <w:rPr>
          <w:rFonts w:hint="eastAsia" w:ascii="黑体" w:eastAsia="黑体" w:hAnsiTheme="majorEastAsia"/>
          <w:sz w:val="32"/>
          <w:szCs w:val="32"/>
        </w:rPr>
        <w:t>邓州市</w:t>
      </w:r>
      <w:r>
        <w:rPr>
          <w:rFonts w:hint="eastAsia" w:ascii="黑体" w:eastAsia="黑体" w:hAnsiTheme="majorEastAsia"/>
          <w:sz w:val="32"/>
          <w:szCs w:val="32"/>
          <w:lang w:val="en-US" w:eastAsia="zh-CN"/>
        </w:rPr>
        <w:t>委办公室</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683.87</w:t>
      </w:r>
      <w:r>
        <w:rPr>
          <w:rFonts w:hint="eastAsia" w:ascii="仿宋_GB2312" w:eastAsia="仿宋_GB2312"/>
          <w:sz w:val="32"/>
          <w:szCs w:val="32"/>
        </w:rPr>
        <w:t>万元，支出总计</w:t>
      </w:r>
      <w:r>
        <w:rPr>
          <w:rFonts w:hint="eastAsia" w:ascii="仿宋_GB2312" w:eastAsia="仿宋_GB2312"/>
          <w:sz w:val="32"/>
          <w:szCs w:val="32"/>
          <w:lang w:val="en-US" w:eastAsia="zh-CN"/>
        </w:rPr>
        <w:t>683.87</w:t>
      </w:r>
      <w:r>
        <w:rPr>
          <w:rFonts w:hint="eastAsia" w:ascii="仿宋_GB2312" w:eastAsia="仿宋_GB2312"/>
          <w:sz w:val="32"/>
          <w:szCs w:val="32"/>
        </w:rPr>
        <w:t>万元，与2020年相比，收入、支出各增长</w:t>
      </w:r>
      <w:r>
        <w:rPr>
          <w:rFonts w:hint="eastAsia" w:ascii="仿宋_GB2312" w:eastAsia="仿宋_GB2312"/>
          <w:color w:val="000000" w:themeColor="text1"/>
          <w:sz w:val="32"/>
          <w:szCs w:val="32"/>
          <w:lang w:val="en-US" w:eastAsia="zh-CN"/>
          <w14:textFill>
            <w14:solidFill>
              <w14:schemeClr w14:val="tx1"/>
            </w14:solidFill>
          </w14:textFill>
        </w:rPr>
        <w:t>314.01</w:t>
      </w:r>
      <w:r>
        <w:rPr>
          <w:rFonts w:hint="eastAsia" w:ascii="仿宋_GB2312" w:eastAsia="仿宋_GB2312"/>
          <w:sz w:val="32"/>
          <w:szCs w:val="32"/>
        </w:rPr>
        <w:t>万元。主要原因是：</w:t>
      </w:r>
      <w:r>
        <w:rPr>
          <w:rFonts w:hint="eastAsia" w:ascii="仿宋_GB2312" w:eastAsia="仿宋_GB2312"/>
          <w:sz w:val="32"/>
          <w:szCs w:val="32"/>
          <w:lang w:val="en-US" w:eastAsia="zh-CN"/>
        </w:rPr>
        <w:t>人员工资增加和会议专项资金增加</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683.87</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683.87</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683.87</w:t>
      </w:r>
      <w:r>
        <w:rPr>
          <w:rFonts w:hint="eastAsia" w:ascii="仿宋_GB2312" w:eastAsia="仿宋_GB2312"/>
          <w:sz w:val="32"/>
          <w:szCs w:val="32"/>
        </w:rPr>
        <w:t>万元，其中：基本支出</w:t>
      </w:r>
      <w:r>
        <w:rPr>
          <w:rFonts w:hint="eastAsia" w:ascii="仿宋_GB2312" w:eastAsia="仿宋_GB2312"/>
          <w:sz w:val="32"/>
          <w:szCs w:val="32"/>
          <w:lang w:val="en-US" w:eastAsia="zh-CN"/>
        </w:rPr>
        <w:t>453.87</w:t>
      </w:r>
      <w:r>
        <w:rPr>
          <w:rFonts w:hint="eastAsia" w:ascii="仿宋_GB2312" w:eastAsia="仿宋_GB2312"/>
          <w:sz w:val="32"/>
          <w:szCs w:val="32"/>
        </w:rPr>
        <w:t>万元，占年度计划的</w:t>
      </w:r>
      <w:r>
        <w:rPr>
          <w:rFonts w:hint="eastAsia" w:ascii="仿宋_GB2312" w:eastAsia="仿宋_GB2312"/>
          <w:sz w:val="32"/>
          <w:szCs w:val="32"/>
          <w:lang w:val="en-US" w:eastAsia="zh-CN"/>
        </w:rPr>
        <w:t>66.37</w:t>
      </w:r>
      <w:r>
        <w:rPr>
          <w:rFonts w:hint="eastAsia" w:ascii="仿宋_GB2312" w:eastAsia="仿宋_GB2312"/>
          <w:sz w:val="32"/>
          <w:szCs w:val="32"/>
        </w:rPr>
        <w:t>%；项目支出</w:t>
      </w:r>
      <w:r>
        <w:rPr>
          <w:rFonts w:hint="eastAsia" w:ascii="仿宋_GB2312" w:eastAsia="仿宋_GB2312"/>
          <w:sz w:val="32"/>
          <w:szCs w:val="32"/>
          <w:lang w:val="en-US" w:eastAsia="zh-CN"/>
        </w:rPr>
        <w:t>230.00</w:t>
      </w:r>
      <w:r>
        <w:rPr>
          <w:rFonts w:hint="eastAsia" w:ascii="仿宋_GB2312" w:eastAsia="仿宋_GB2312"/>
          <w:sz w:val="32"/>
          <w:szCs w:val="32"/>
        </w:rPr>
        <w:t>万元，占年度计划的</w:t>
      </w:r>
      <w:r>
        <w:rPr>
          <w:rFonts w:hint="eastAsia" w:ascii="仿宋_GB2312" w:eastAsia="仿宋_GB2312"/>
          <w:sz w:val="32"/>
          <w:szCs w:val="32"/>
          <w:lang w:val="en-US" w:eastAsia="zh-CN"/>
        </w:rPr>
        <w:t>33.63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683.87</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万元，与2020年相比，收入支出增长</w:t>
      </w:r>
      <w:r>
        <w:rPr>
          <w:rFonts w:hint="eastAsia" w:ascii="仿宋_GB2312" w:eastAsia="仿宋_GB2312"/>
          <w:sz w:val="32"/>
          <w:szCs w:val="32"/>
          <w:lang w:val="en-US" w:eastAsia="zh-CN"/>
        </w:rPr>
        <w:t>314.01</w:t>
      </w:r>
      <w:r>
        <w:rPr>
          <w:rFonts w:hint="eastAsia" w:ascii="仿宋_GB2312" w:eastAsia="仿宋_GB2312"/>
          <w:sz w:val="32"/>
          <w:szCs w:val="32"/>
        </w:rPr>
        <w:t>万元。主要原因是：</w:t>
      </w:r>
      <w:r>
        <w:rPr>
          <w:rFonts w:hint="eastAsia" w:ascii="仿宋_GB2312" w:eastAsia="仿宋_GB2312"/>
          <w:sz w:val="32"/>
          <w:szCs w:val="32"/>
          <w:lang w:val="en-US" w:eastAsia="zh-CN"/>
        </w:rPr>
        <w:t>人员工资增加和会议专项资金增加。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683.87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453.87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66.37</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230.00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33.63</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453.87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406.28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89.51</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47.59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10.49</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15.00</w:t>
      </w:r>
      <w:r>
        <w:rPr>
          <w:rFonts w:hint="eastAsia" w:ascii="仿宋_GB2312" w:eastAsia="仿宋_GB2312"/>
          <w:sz w:val="32"/>
          <w:szCs w:val="32"/>
        </w:rPr>
        <w:t>万元。比2020年</w:t>
      </w:r>
      <w:r>
        <w:rPr>
          <w:rFonts w:hint="eastAsia" w:ascii="仿宋_GB2312" w:eastAsia="仿宋_GB2312"/>
          <w:sz w:val="32"/>
          <w:szCs w:val="32"/>
          <w:lang w:val="en-US" w:eastAsia="zh-CN"/>
        </w:rPr>
        <w:t>增加2.00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bidi="ar"/>
        </w:rPr>
        <w:t>与</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hint="eastAsia" w:ascii="Times New Roman" w:hAnsi="Times New Roman" w:eastAsia="仿宋_GB2312" w:cs="Times New Roman"/>
          <w:sz w:val="32"/>
          <w:szCs w:val="32"/>
          <w:lang w:bidi="ar"/>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5.00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5.00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w:t>
      </w:r>
      <w:r>
        <w:rPr>
          <w:rFonts w:hint="eastAsia" w:ascii="Times New Roman" w:hAnsi="Times New Roman" w:eastAsia="仿宋_GB2312" w:cs="Times New Roman"/>
          <w:sz w:val="32"/>
          <w:szCs w:val="32"/>
          <w:lang w:val="en-US" w:eastAsia="zh-CN" w:bidi="ar"/>
        </w:rPr>
        <w:t>与</w:t>
      </w:r>
      <w:r>
        <w:rPr>
          <w:rFonts w:hint="eastAsia" w:ascii="Times New Roman" w:hAnsi="Times New Roman" w:eastAsia="仿宋_GB2312" w:cs="Times New Roman"/>
          <w:sz w:val="32"/>
          <w:szCs w:val="32"/>
          <w:lang w:bidi="ar"/>
        </w:rPr>
        <w:t>2020年</w:t>
      </w:r>
      <w:r>
        <w:rPr>
          <w:rFonts w:hint="eastAsia" w:ascii="Times New Roman" w:hAnsi="Times New Roman" w:eastAsia="仿宋_GB2312" w:cs="Times New Roman"/>
          <w:sz w:val="32"/>
          <w:szCs w:val="32"/>
          <w:lang w:val="en-US" w:eastAsia="zh-CN" w:bidi="ar"/>
        </w:rPr>
        <w:t>保持一致</w:t>
      </w:r>
      <w:r>
        <w:rPr>
          <w:rFonts w:hint="eastAsia" w:ascii="Times New Roman" w:hAnsi="Times New Roman" w:eastAsia="仿宋_GB2312" w:cs="Times New Roman"/>
          <w:sz w:val="32"/>
          <w:szCs w:val="32"/>
          <w:lang w:bidi="ar"/>
        </w:rPr>
        <w:t>。</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w:t>
      </w:r>
      <w:r>
        <w:rPr>
          <w:rFonts w:hint="eastAsia" w:ascii="Times New Roman" w:hAnsi="Times New Roman" w:eastAsia="仿宋_GB2312" w:cs="Times New Roman"/>
          <w:sz w:val="32"/>
          <w:szCs w:val="32"/>
          <w:lang w:val="en-US" w:eastAsia="zh-CN" w:bidi="ar"/>
        </w:rPr>
        <w:t>增加2</w:t>
      </w:r>
      <w:r>
        <w:rPr>
          <w:rFonts w:hint="eastAsia" w:ascii="Times New Roman" w:hAnsi="Times New Roman" w:eastAsia="仿宋_GB2312" w:cs="Times New Roman"/>
          <w:sz w:val="32"/>
          <w:szCs w:val="32"/>
          <w:lang w:bidi="ar"/>
        </w:rPr>
        <w:t>万元。主要原因：</w:t>
      </w:r>
      <w:r>
        <w:rPr>
          <w:rFonts w:hint="eastAsia" w:ascii="Times New Roman" w:hAnsi="Times New Roman" w:eastAsia="仿宋_GB2312" w:cs="Times New Roman"/>
          <w:sz w:val="32"/>
          <w:szCs w:val="32"/>
          <w:lang w:val="en-US" w:eastAsia="zh-CN" w:bidi="ar"/>
        </w:rPr>
        <w:t>会议次数增加，</w:t>
      </w:r>
      <w:r>
        <w:rPr>
          <w:rFonts w:hint="eastAsia" w:ascii="Times New Roman" w:hAnsi="Times New Roman" w:eastAsia="仿宋_GB2312" w:cs="Times New Roman"/>
          <w:sz w:val="32"/>
          <w:szCs w:val="32"/>
          <w:lang w:bidi="ar"/>
        </w:rPr>
        <w:t>公务接待开支</w:t>
      </w:r>
      <w:r>
        <w:rPr>
          <w:rFonts w:hint="eastAsia" w:ascii="Times New Roman" w:hAnsi="Times New Roman" w:eastAsia="仿宋_GB2312" w:cs="Times New Roman"/>
          <w:sz w:val="32"/>
          <w:szCs w:val="32"/>
          <w:lang w:val="en-US" w:eastAsia="zh-CN" w:bidi="ar"/>
        </w:rPr>
        <w:t>增加</w:t>
      </w:r>
      <w:r>
        <w:rPr>
          <w:rFonts w:hint="eastAsia" w:ascii="Times New Roman" w:hAnsi="Times New Roman" w:eastAsia="仿宋_GB2312" w:cs="Times New Roman"/>
          <w:sz w:val="32"/>
          <w:szCs w:val="32"/>
          <w:lang w:bidi="ar"/>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453.87</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1</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TU4YzI3MzBjZjhkMGVmMjBlNzU2MjIwYmJhOG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2856F3"/>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A756B38"/>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5DFC012C"/>
    <w:rsid w:val="60AF768B"/>
    <w:rsid w:val="60D15B65"/>
    <w:rsid w:val="60D3160D"/>
    <w:rsid w:val="66A35BC6"/>
    <w:rsid w:val="67471495"/>
    <w:rsid w:val="6AA309C2"/>
    <w:rsid w:val="6B001859"/>
    <w:rsid w:val="6DD00BE6"/>
    <w:rsid w:val="6ED57827"/>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3091</Words>
  <Characters>3301</Characters>
  <Lines>21</Lines>
  <Paragraphs>6</Paragraphs>
  <TotalTime>0</TotalTime>
  <ScaleCrop>false</ScaleCrop>
  <LinksUpToDate>false</LinksUpToDate>
  <CharactersWithSpaces>3316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2022-08-28T06:38:52Z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7CD67817986640A3A03D37401089C6C7</vt:lpwstr>
  </property>
</Properties>
</file>