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2021年邓州市</w:t>
      </w:r>
      <w:r>
        <w:rPr>
          <w:rFonts w:hint="eastAsia" w:ascii="方正小标宋简体" w:eastAsia="方正小标宋简体" w:hAnsiTheme="minorEastAsia"/>
          <w:color w:val="000000" w:themeColor="text1"/>
          <w:sz w:val="44"/>
          <w:szCs w:val="44"/>
          <w14:textFill>
            <w14:solidFill>
              <w14:schemeClr w14:val="tx1"/>
            </w14:solidFill>
          </w14:textFill>
        </w:rPr>
        <w:t>植保植检站单位</w:t>
      </w:r>
      <w:r>
        <w:rPr>
          <w:rFonts w:hint="eastAsia" w:ascii="方正小标宋简体" w:hAnsi="黑体" w:eastAsia="方正小标宋简体"/>
          <w:color w:val="000000" w:themeColor="text1"/>
          <w:w w:val="90"/>
          <w:sz w:val="44"/>
          <w:szCs w:val="32"/>
          <w14:textFill>
            <w14:solidFill>
              <w14:schemeClr w14:val="tx1"/>
            </w14:solidFill>
          </w14:textFill>
        </w:rPr>
        <w:t>预算</w:t>
      </w:r>
    </w:p>
    <w:p>
      <w:pPr>
        <w:jc w:val="center"/>
        <w:rPr>
          <w:rFonts w:ascii="方正小标宋简体" w:hAnsi="黑体" w:eastAsia="方正小标宋简体"/>
          <w:color w:val="000000" w:themeColor="text1"/>
          <w:w w:val="90"/>
          <w:sz w:val="44"/>
          <w:szCs w:val="32"/>
          <w14:textFill>
            <w14:solidFill>
              <w14:schemeClr w14:val="tx1"/>
            </w14:solidFill>
          </w14:textFill>
        </w:rPr>
      </w:pPr>
      <w:r>
        <w:rPr>
          <w:rFonts w:hint="eastAsia" w:ascii="方正小标宋简体" w:hAnsi="黑体" w:eastAsia="方正小标宋简体"/>
          <w:color w:val="000000" w:themeColor="text1"/>
          <w:w w:val="90"/>
          <w:sz w:val="44"/>
          <w:szCs w:val="32"/>
          <w14:textFill>
            <w14:solidFill>
              <w14:schemeClr w14:val="tx1"/>
            </w14:solidFill>
          </w14:textFill>
        </w:rPr>
        <w:t>基本情况说明</w:t>
      </w:r>
    </w:p>
    <w:p>
      <w:pPr>
        <w:jc w:val="center"/>
        <w:rPr>
          <w:rFonts w:asciiTheme="majorEastAsia" w:hAnsiTheme="majorEastAsia" w:eastAsiaTheme="majorEastAsia"/>
          <w:b/>
          <w:color w:val="000000" w:themeColor="text1"/>
          <w:sz w:val="28"/>
          <w:szCs w:val="32"/>
          <w14:textFill>
            <w14:solidFill>
              <w14:schemeClr w14:val="tx1"/>
            </w14:solidFill>
          </w14:textFill>
        </w:rPr>
      </w:pPr>
    </w:p>
    <w:p>
      <w:pPr>
        <w:jc w:val="center"/>
        <w:rPr>
          <w:rFonts w:ascii="黑体" w:eastAsia="黑体" w:hAnsiTheme="majorEastAsia"/>
          <w:color w:val="000000" w:themeColor="text1"/>
          <w:sz w:val="36"/>
          <w:szCs w:val="32"/>
          <w14:textFill>
            <w14:solidFill>
              <w14:schemeClr w14:val="tx1"/>
            </w14:solidFill>
          </w14:textFill>
        </w:rPr>
      </w:pPr>
      <w:r>
        <w:rPr>
          <w:rFonts w:hint="eastAsia" w:ascii="黑体" w:eastAsia="黑体" w:hAnsiTheme="majorEastAsia"/>
          <w:color w:val="000000" w:themeColor="text1"/>
          <w:sz w:val="36"/>
          <w:szCs w:val="32"/>
          <w14:textFill>
            <w14:solidFill>
              <w14:schemeClr w14:val="tx1"/>
            </w14:solidFill>
          </w14:textFill>
        </w:rPr>
        <w:t>目  录</w:t>
      </w:r>
    </w:p>
    <w:p>
      <w:pPr>
        <w:spacing w:before="312" w:beforeLines="100"/>
        <w:jc w:val="left"/>
        <w:rPr>
          <w:rFonts w:ascii="黑体" w:hAnsi="黑体" w:eastAsia="黑体"/>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 xml:space="preserve">第一部分  </w:t>
      </w:r>
      <w:r>
        <w:rPr>
          <w:rFonts w:hint="eastAsia" w:ascii="黑体" w:hAnsi="黑体" w:eastAsia="黑体"/>
          <w:color w:val="000000" w:themeColor="text1"/>
          <w:sz w:val="32"/>
          <w:szCs w:val="32"/>
          <w14:textFill>
            <w14:solidFill>
              <w14:schemeClr w14:val="tx1"/>
            </w14:solidFill>
          </w14:textFill>
        </w:rPr>
        <w:t>邓州市植保植检站概况</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主要职责</w:t>
      </w:r>
    </w:p>
    <w:p>
      <w:pPr>
        <w:pStyle w:val="9"/>
        <w:numPr>
          <w:ilvl w:val="0"/>
          <w:numId w:val="1"/>
        </w:numPr>
        <w:jc w:val="left"/>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14:textFill>
            <w14:solidFill>
              <w14:schemeClr w14:val="tx1"/>
            </w14:solidFill>
          </w14:textFill>
        </w:rPr>
        <w:t>预算单位构成情况</w:t>
      </w:r>
    </w:p>
    <w:p>
      <w:pPr>
        <w:jc w:val="left"/>
        <w:rPr>
          <w:rFonts w:ascii="黑体" w:hAnsi="黑体" w:eastAsia="黑体"/>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 xml:space="preserve">第二部分 </w:t>
      </w:r>
      <w:r>
        <w:rPr>
          <w:rFonts w:hint="eastAsia" w:ascii="黑体" w:hAnsi="黑体" w:eastAsia="黑体"/>
          <w:color w:val="000000" w:themeColor="text1"/>
          <w:sz w:val="32"/>
          <w:szCs w:val="32"/>
          <w14:textFill>
            <w14:solidFill>
              <w14:schemeClr w14:val="tx1"/>
            </w14:solidFill>
          </w14:textFill>
        </w:rPr>
        <w:t>邓州市植保植检站2021年预算情况说明</w:t>
      </w:r>
    </w:p>
    <w:p>
      <w:pPr>
        <w:jc w:val="left"/>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rPr>
          <w:rFonts w:ascii="仿宋_GB2312" w:eastAsia="仿宋_GB2312"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附件</w:t>
      </w:r>
      <w:r>
        <w:rPr>
          <w:rFonts w:hint="eastAsia" w:ascii="仿宋_GB2312" w:eastAsia="仿宋_GB2312" w:hAnsiTheme="majorEastAsia"/>
          <w:color w:val="000000" w:themeColor="text1"/>
          <w:sz w:val="32"/>
          <w:szCs w:val="32"/>
          <w14:textFill>
            <w14:solidFill>
              <w14:schemeClr w14:val="tx1"/>
            </w14:solidFill>
          </w14:textFill>
        </w:rPr>
        <w:t>：2021年度</w:t>
      </w:r>
      <w:r>
        <w:rPr>
          <w:rFonts w:hint="eastAsia" w:ascii="仿宋" w:hAnsi="仿宋" w:eastAsia="仿宋" w:cs="宋体"/>
          <w:kern w:val="0"/>
          <w:sz w:val="32"/>
          <w:szCs w:val="32"/>
        </w:rPr>
        <w:t>单位</w:t>
      </w:r>
      <w:r>
        <w:rPr>
          <w:rFonts w:hint="eastAsia" w:ascii="仿宋_GB2312" w:eastAsia="仿宋_GB2312" w:hAnsiTheme="majorEastAsia"/>
          <w:color w:val="000000" w:themeColor="text1"/>
          <w:sz w:val="32"/>
          <w:szCs w:val="32"/>
          <w14:textFill>
            <w14:solidFill>
              <w14:schemeClr w14:val="tx1"/>
            </w14:solidFill>
          </w14:textFill>
        </w:rPr>
        <w:t>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color w:val="000000" w:themeColor="text1"/>
          <w:sz w:val="28"/>
          <w:szCs w:val="28"/>
          <w14:textFill>
            <w14:solidFill>
              <w14:schemeClr w14:val="tx1"/>
            </w14:solidFill>
          </w14:textFill>
        </w:rPr>
      </w:pPr>
    </w:p>
    <w:p>
      <w:pPr>
        <w:ind w:firstLine="427" w:firstLineChars="133"/>
        <w:jc w:val="center"/>
        <w:rPr>
          <w:rFonts w:ascii="黑体" w:eastAsia="黑体" w:hAnsiTheme="majorEastAsia"/>
          <w:color w:val="000000" w:themeColor="text1"/>
          <w:sz w:val="32"/>
          <w:szCs w:val="32"/>
          <w14:textFill>
            <w14:solidFill>
              <w14:schemeClr w14:val="tx1"/>
            </w14:solidFill>
          </w14:textFill>
        </w:rPr>
      </w:pPr>
      <w:r>
        <w:rPr>
          <w:rFonts w:ascii="仿宋_GB2312" w:eastAsia="仿宋_GB2312" w:hAnsiTheme="majorEastAsia"/>
          <w:b/>
          <w:color w:val="000000" w:themeColor="text1"/>
          <w:sz w:val="32"/>
          <w:szCs w:val="32"/>
          <w14:textFill>
            <w14:solidFill>
              <w14:schemeClr w14:val="tx1"/>
            </w14:solidFill>
          </w14:textFill>
        </w:rPr>
        <w:br w:type="page"/>
      </w:r>
      <w:r>
        <w:rPr>
          <w:rFonts w:hint="eastAsia" w:ascii="黑体" w:eastAsia="黑体" w:hAnsiTheme="majorEastAsia"/>
          <w:color w:val="000000" w:themeColor="text1"/>
          <w:sz w:val="32"/>
          <w:szCs w:val="32"/>
          <w14:textFill>
            <w14:solidFill>
              <w14:schemeClr w14:val="tx1"/>
            </w14:solidFill>
          </w14:textFill>
        </w:rPr>
        <w:t>第一部分</w:t>
      </w: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邓州市植保植检站概况</w:t>
      </w:r>
    </w:p>
    <w:p>
      <w:pPr>
        <w:rPr>
          <w:rFonts w:ascii="仿宋_GB2312" w:eastAsia="仿宋_GB2312"/>
          <w:b/>
          <w:color w:val="000000" w:themeColor="text1"/>
          <w:sz w:val="32"/>
          <w:szCs w:val="32"/>
          <w14:textFill>
            <w14:solidFill>
              <w14:schemeClr w14:val="tx1"/>
            </w14:solidFill>
          </w14:textFill>
        </w:rPr>
      </w:pPr>
    </w:p>
    <w:p>
      <w:pPr>
        <w:ind w:firstLine="566" w:firstLineChars="17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一、主要职责</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邓州市植保植检站是全国农作物病虫害区域测报站和全国重大农作物病虫害预警与控制区域站之一，主要职责有病虫测报、植物检疫、统防统治、技术研究、技术培训、科技咨询、农资供应、药械维修、农药新品种和植保新技术的引进、实验示范、推广服务等，完成市委、市政府和市委农村工作领导小组交办的其他任务。</w:t>
      </w:r>
    </w:p>
    <w:p>
      <w:pPr>
        <w:ind w:firstLine="566" w:firstLineChars="177"/>
        <w:rPr>
          <w:rFonts w:ascii="仿宋_GB2312" w:eastAsia="仿宋_GB2312"/>
          <w:color w:val="000000" w:themeColor="text1"/>
          <w:sz w:val="32"/>
          <w:szCs w:val="32"/>
          <w14:textFill>
            <w14:solidFill>
              <w14:schemeClr w14:val="tx1"/>
            </w14:solidFill>
          </w14:textFill>
        </w:rPr>
      </w:pPr>
    </w:p>
    <w:p>
      <w:pPr>
        <w:ind w:firstLine="566" w:firstLineChars="17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二、部门预算单位构成情况</w:t>
      </w:r>
    </w:p>
    <w:p>
      <w:pPr>
        <w:ind w:firstLine="566" w:firstLineChars="177"/>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邓州市植保植检站单位预算包括综合办公室、测防科、检疫科、财务科和病虫害观测场的预算。</w:t>
      </w:r>
    </w:p>
    <w:p>
      <w:pPr>
        <w:rPr>
          <w:rFonts w:ascii="仿宋_GB2312" w:eastAsia="仿宋_GB2312"/>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p>
    <w:p>
      <w:pPr>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第二部分</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邓州市植保植检站2021年预算情况说明</w:t>
      </w:r>
    </w:p>
    <w:p>
      <w:pPr>
        <w:spacing w:before="312" w:beforeLines="100"/>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一、收入支出预算总体情况说明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2021年收入总计264.92万元，支出总计264.92万元，与2020年相比，收入、支出各增加1.74万元。主要原因是：人员经费增加</w:t>
      </w:r>
      <w:r>
        <w:rPr>
          <w:rFonts w:hint="eastAsia"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ind w:firstLine="567"/>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二、收入预算总体情况说明</w:t>
      </w:r>
    </w:p>
    <w:p>
      <w:pPr>
        <w:ind w:firstLine="707" w:firstLineChars="221"/>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2021年收入预算264.92万元，其中：</w:t>
      </w:r>
      <w:r>
        <w:rPr>
          <w:rFonts w:hint="eastAsia" w:eastAsia="仿宋_GB2312"/>
          <w:color w:val="000000" w:themeColor="text1"/>
          <w:sz w:val="32"/>
          <w:szCs w:val="32"/>
          <w14:textFill>
            <w14:solidFill>
              <w14:schemeClr w14:val="tx1"/>
            </w14:solidFill>
          </w14:textFill>
        </w:rPr>
        <w:t>一般公共预算收入</w:t>
      </w:r>
      <w:r>
        <w:rPr>
          <w:rFonts w:hint="eastAsia" w:ascii="仿宋_GB2312" w:eastAsia="仿宋_GB2312"/>
          <w:color w:val="000000" w:themeColor="text1"/>
          <w:sz w:val="32"/>
          <w:szCs w:val="32"/>
          <w14:textFill>
            <w14:solidFill>
              <w14:schemeClr w14:val="tx1"/>
            </w14:solidFill>
          </w14:textFill>
        </w:rPr>
        <w:t>264.92万元，政府性基金收入0万元，国有资本经营预算收入0万元，财政专户管理资金收入0万元</w:t>
      </w:r>
      <w:r>
        <w:rPr>
          <w:rFonts w:hint="eastAsia" w:eastAsia="仿宋_GB2312"/>
          <w:color w:val="000000" w:themeColor="text1"/>
          <w:sz w:val="32"/>
          <w:szCs w:val="32"/>
          <w14:textFill>
            <w14:solidFill>
              <w14:schemeClr w14:val="tx1"/>
            </w14:solidFill>
          </w14:textFill>
        </w:rPr>
        <w:t>。</w:t>
      </w:r>
    </w:p>
    <w:p>
      <w:pPr>
        <w:ind w:firstLine="709"/>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三、支出预算总体情况说明</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2021年支出预算264.92万元，其中：基本支出249.72万元，占年度计划的94.26%；项目支出15.2万元，占年度计划的5.74%。 </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四、财政拨款收支预算总体情况说明</w:t>
      </w:r>
    </w:p>
    <w:p>
      <w:pPr>
        <w:ind w:firstLine="640" w:firstLineChars="200"/>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2021年一般公共预算收支预算264.92万元，政府性基金收支预算0万元，国有资本经营收支预算0万元，与2020年相比，收入支出增加1.74万元。主要原因是：人员经费增加。</w:t>
      </w:r>
    </w:p>
    <w:p>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五、一般公共预算支出预算情况说明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年一般公共预算支出年初预算为</w:t>
      </w:r>
      <w:r>
        <w:rPr>
          <w:rFonts w:hint="eastAsia" w:ascii="仿宋_GB2312" w:eastAsia="仿宋_GB2312"/>
          <w:color w:val="000000" w:themeColor="text1"/>
          <w:sz w:val="32"/>
          <w:szCs w:val="32"/>
          <w14:textFill>
            <w14:solidFill>
              <w14:schemeClr w14:val="tx1"/>
            </w14:solidFill>
          </w14:textFill>
        </w:rPr>
        <w:t>264.92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基本支出</w:t>
      </w:r>
      <w:r>
        <w:rPr>
          <w:rFonts w:hint="eastAsia" w:ascii="仿宋_GB2312" w:eastAsia="仿宋_GB2312"/>
          <w:color w:val="000000" w:themeColor="text1"/>
          <w:sz w:val="32"/>
          <w:szCs w:val="32"/>
          <w14:textFill>
            <w14:solidFill>
              <w14:schemeClr w14:val="tx1"/>
            </w14:solidFill>
          </w14:textFill>
        </w:rPr>
        <w:t>249.72</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14:textFill>
            <w14:solidFill>
              <w14:schemeClr w14:val="tx1"/>
            </w14:solidFill>
          </w14:textFill>
        </w:rPr>
        <w:t>94.26</w:t>
      </w:r>
      <w:r>
        <w:rPr>
          <w:rFonts w:hint="eastAsia" w:ascii="Times New Roman" w:hAnsi="Times New Roman" w:eastAsia="仿宋_GB2312" w:cs="Times New Roman"/>
          <w:color w:val="000000" w:themeColor="text1"/>
          <w:sz w:val="32"/>
          <w:szCs w:val="32"/>
          <w14:textFill>
            <w14:solidFill>
              <w14:schemeClr w14:val="tx1"/>
            </w14:solidFill>
          </w14:textFill>
        </w:rPr>
        <w:t>%；项目支出</w:t>
      </w:r>
      <w:r>
        <w:rPr>
          <w:rFonts w:hint="eastAsia" w:ascii="仿宋_GB2312" w:eastAsia="仿宋_GB2312"/>
          <w:color w:val="000000" w:themeColor="text1"/>
          <w:sz w:val="32"/>
          <w:szCs w:val="32"/>
          <w14:textFill>
            <w14:solidFill>
              <w14:schemeClr w14:val="tx1"/>
            </w14:solidFill>
          </w14:textFill>
        </w:rPr>
        <w:t>15.2</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14:textFill>
            <w14:solidFill>
              <w14:schemeClr w14:val="tx1"/>
            </w14:solidFill>
          </w14:textFill>
        </w:rPr>
        <w:t>5.74%</w:t>
      </w:r>
      <w:r>
        <w:rPr>
          <w:rFonts w:hint="eastAsia" w:ascii="Times New Roman" w:hAnsi="Times New Roman" w:eastAsia="仿宋_GB2312" w:cs="Times New Roman"/>
          <w:color w:val="000000" w:themeColor="text1"/>
          <w:sz w:val="32"/>
          <w:szCs w:val="32"/>
          <w14:textFill>
            <w14:solidFill>
              <w14:schemeClr w14:val="tx1"/>
            </w14:solidFill>
          </w14:textFill>
        </w:rPr>
        <w:t>%。</w:t>
      </w:r>
    </w:p>
    <w:p>
      <w:pPr>
        <w:ind w:firstLine="709"/>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六、一般公共预算基本支出预算情况说明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2021</w:t>
      </w:r>
      <w:r>
        <w:rPr>
          <w:rFonts w:ascii="Times New Roman" w:hAnsi="Times New Roman" w:eastAsia="仿宋_GB2312" w:cs="Times New Roman"/>
          <w:color w:val="000000" w:themeColor="text1"/>
          <w:sz w:val="32"/>
          <w:szCs w:val="32"/>
          <w14:textFill>
            <w14:solidFill>
              <w14:schemeClr w14:val="tx1"/>
            </w14:solidFill>
          </w14:textFill>
        </w:rPr>
        <w:t>年一般公共预算</w:t>
      </w:r>
      <w:r>
        <w:rPr>
          <w:rFonts w:hint="eastAsia" w:ascii="Times New Roman" w:hAnsi="Times New Roman" w:eastAsia="仿宋_GB2312" w:cs="Times New Roman"/>
          <w:color w:val="000000" w:themeColor="text1"/>
          <w:sz w:val="32"/>
          <w:szCs w:val="32"/>
          <w14:textFill>
            <w14:solidFill>
              <w14:schemeClr w14:val="tx1"/>
            </w14:solidFill>
          </w14:textFill>
        </w:rPr>
        <w:t>基本支出</w:t>
      </w:r>
      <w:r>
        <w:rPr>
          <w:rFonts w:ascii="Times New Roman" w:hAnsi="Times New Roman" w:eastAsia="仿宋_GB2312" w:cs="Times New Roman"/>
          <w:color w:val="000000" w:themeColor="text1"/>
          <w:sz w:val="32"/>
          <w:szCs w:val="32"/>
          <w14:textFill>
            <w14:solidFill>
              <w14:schemeClr w14:val="tx1"/>
            </w14:solidFill>
          </w14:textFill>
        </w:rPr>
        <w:t>年初预算为</w:t>
      </w:r>
      <w:r>
        <w:rPr>
          <w:rFonts w:hint="eastAsia" w:ascii="Times New Roman" w:hAnsi="Times New Roman" w:eastAsia="仿宋_GB2312" w:cs="Times New Roman"/>
          <w:color w:val="000000" w:themeColor="text1"/>
          <w:sz w:val="32"/>
          <w:szCs w:val="32"/>
          <w14:textFill>
            <w14:solidFill>
              <w14:schemeClr w14:val="tx1"/>
            </w14:solidFill>
          </w14:textFill>
        </w:rPr>
        <w:t>249.72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人员经费支出244.97万元，占</w:t>
      </w:r>
      <w:r>
        <w:rPr>
          <w:rFonts w:hint="eastAsia" w:ascii="仿宋_GB2312" w:eastAsia="仿宋_GB2312"/>
          <w:color w:val="000000" w:themeColor="text1"/>
          <w:sz w:val="32"/>
          <w:szCs w:val="32"/>
          <w14:textFill>
            <w14:solidFill>
              <w14:schemeClr w14:val="tx1"/>
            </w14:solidFill>
          </w14:textFill>
        </w:rPr>
        <w:t>98.1</w:t>
      </w:r>
      <w:r>
        <w:rPr>
          <w:rFonts w:hint="eastAsia" w:ascii="Times New Roman" w:hAnsi="Times New Roman" w:eastAsia="仿宋_GB2312" w:cs="Times New Roman"/>
          <w:color w:val="000000" w:themeColor="text1"/>
          <w:sz w:val="32"/>
          <w:szCs w:val="32"/>
          <w14:textFill>
            <w14:solidFill>
              <w14:schemeClr w14:val="tx1"/>
            </w14:solidFill>
          </w14:textFill>
        </w:rPr>
        <w:t>%；公用经费支出4.75万元，占1.9%。</w:t>
      </w:r>
    </w:p>
    <w:p>
      <w:pPr>
        <w:ind w:firstLine="709"/>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七、支出预算经济分类情况说明</w:t>
      </w:r>
    </w:p>
    <w:p>
      <w:pPr>
        <w:ind w:firstLine="709"/>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 按两套经济分类科目分别反映不同资金来源的全部预算支出。</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八、一般公共预算“三公”经费支出预算情况说明</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2021年“三公”经费预算为3.69万元。比2020年减少0.2万元。</w:t>
      </w:r>
    </w:p>
    <w:p>
      <w:pPr>
        <w:kinsoku w:val="0"/>
        <w:overflowPunct w:val="0"/>
        <w:autoSpaceDE w:val="0"/>
        <w:autoSpaceDN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因公出国（境）费0万元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主要用于单位工作人员公务出国（境）的住宿费、旅费、伙食补助费、杂费、培训费等支出。预算数比</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仿宋_GB2312"/>
          <w:color w:val="000000" w:themeColor="text1"/>
          <w:sz w:val="32"/>
          <w:szCs w:val="32"/>
          <w14:textFill>
            <w14:solidFill>
              <w14:schemeClr w14:val="tx1"/>
            </w14:solidFill>
          </w14:textFill>
        </w:rPr>
        <w:t>年保持一致。</w:t>
      </w:r>
    </w:p>
    <w:p>
      <w:pPr>
        <w:ind w:left="19" w:leftChars="9" w:firstLine="623" w:firstLineChars="194"/>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公务用车购置费及维护费3.29万元</w:t>
      </w:r>
      <w:r>
        <w:rPr>
          <w:rFonts w:hint="eastAsia" w:ascii="仿宋_GB2312" w:eastAsia="仿宋_GB2312"/>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14:textFill>
            <w14:solidFill>
              <w14:schemeClr w14:val="tx1"/>
            </w14:solidFill>
          </w14:textFill>
        </w:rPr>
        <w:t>公务用车购置费0万元；</w:t>
      </w:r>
      <w:r>
        <w:rPr>
          <w:rFonts w:hint="eastAsia" w:ascii="仿宋_GB2312" w:eastAsia="仿宋_GB2312"/>
          <w:color w:val="000000" w:themeColor="text1"/>
          <w:sz w:val="32"/>
          <w:szCs w:val="32"/>
          <w14:textFill>
            <w14:solidFill>
              <w14:schemeClr w14:val="tx1"/>
            </w14:solidFill>
          </w14:textFill>
        </w:rPr>
        <w:t>公务用车维护费3.29万元。</w:t>
      </w:r>
      <w:r>
        <w:rPr>
          <w:rFonts w:hint="eastAsia" w:ascii="Times New Roman" w:hAnsi="Times New Roman" w:eastAsia="仿宋_GB2312" w:cs="Times New Roman"/>
          <w:color w:val="000000" w:themeColor="text1"/>
          <w:sz w:val="32"/>
          <w:szCs w:val="32"/>
          <w14:textFill>
            <w14:solidFill>
              <w14:schemeClr w14:val="tx1"/>
            </w14:solidFill>
          </w14:textFill>
        </w:rPr>
        <w:t>主要用于开展工作所需公务用车的燃料费、维修费、过路过桥费、保险费等支出。公务用车购置费预算数与</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2020</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年持平，均为</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万元。公务用车运行维护费预算数比 2020年减少0.2万元。主要原因：压减公务用车运行维护费。</w:t>
      </w:r>
    </w:p>
    <w:p>
      <w:pPr>
        <w:ind w:left="19" w:leftChars="9" w:firstLine="623" w:firstLineChars="194"/>
        <w:rPr>
          <w:rFonts w:ascii="仿宋_GB2312" w:eastAsia="仿宋_GB2312"/>
          <w:b/>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公务接待费0.4万元</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主要用于按规定开支的各类公务接待支出。预算数比</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2020年增加0万元。主要原因：维护正常工作开展公务接待。</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九、政府性基金预算支出预算情况说明</w:t>
      </w:r>
    </w:p>
    <w:p>
      <w:pPr>
        <w:ind w:firstLine="709"/>
        <w:rPr>
          <w:rFonts w:ascii="黑体" w:eastAsia="黑体"/>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2021年没有使用政府性基金预算拨款安排的支出。</w:t>
      </w:r>
    </w:p>
    <w:p>
      <w:pPr>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十、其他重要事项的情况说明</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（一）机关运行经费支出情况说明</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2021年机构运转经费支出预算</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万元，主要保障机关人员工资发放、机构正常运转及正常履职需要。我单位不是行政机关，也不是参照公务员管理事业单位，没有机关运行经费支出。</w:t>
      </w:r>
      <w:bookmarkStart w:id="0" w:name="_GoBack"/>
      <w:bookmarkEnd w:id="0"/>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（二）政府采购支出情况</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2021年无政府采购预算安排。</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（三）绩效目标设置情况</w:t>
      </w:r>
    </w:p>
    <w:p>
      <w:pPr>
        <w:ind w:left="638" w:leftChars="304" w:firstLine="64" w:firstLineChars="20"/>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我单位2021年预算，暂未进行项目预算绩效管理工作。</w:t>
      </w:r>
      <w:r>
        <w:rPr>
          <w:rFonts w:hint="eastAsia" w:ascii="仿宋_GB2312" w:eastAsia="仿宋_GB2312"/>
          <w:b/>
          <w:color w:val="000000" w:themeColor="text1"/>
          <w:sz w:val="32"/>
          <w:szCs w:val="32"/>
          <w14:textFill>
            <w14:solidFill>
              <w14:schemeClr w14:val="tx1"/>
            </w14:solidFill>
          </w14:textFill>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期末，我单位共有车辆3辆，其中：一般公务用车0辆、一般执法执勤车辆1辆、特种专业技术用车2辆、其他用车0辆，其他用车主要是离退休干部用车0辆、应急保障车辆0辆。单价50万元以上通用设备0套，单位价值100万元以上专用设备0套。</w:t>
      </w:r>
    </w:p>
    <w:p>
      <w:pPr>
        <w:ind w:firstLine="70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color w:val="000000" w:themeColor="text1"/>
          <w:sz w:val="32"/>
          <w:szCs w:val="32"/>
          <w14:textFill>
            <w14:solidFill>
              <w14:schemeClr w14:val="tx1"/>
            </w14:solidFill>
          </w14:textFill>
        </w:rPr>
      </w:pPr>
    </w:p>
    <w:p>
      <w:pPr>
        <w:ind w:firstLine="709"/>
        <w:jc w:val="center"/>
        <w:rPr>
          <w:rFonts w:ascii="黑体" w:eastAsia="黑体" w:hAnsiTheme="majorEastAsia"/>
          <w:color w:val="000000" w:themeColor="text1"/>
          <w:sz w:val="32"/>
          <w:szCs w:val="32"/>
          <w14:textFill>
            <w14:solidFill>
              <w14:schemeClr w14:val="tx1"/>
            </w14:solidFill>
          </w14:textFill>
        </w:rPr>
      </w:pPr>
    </w:p>
    <w:p>
      <w:pPr>
        <w:ind w:firstLine="709"/>
        <w:jc w:val="center"/>
        <w:rPr>
          <w:rFonts w:ascii="黑体" w:eastAsia="黑体" w:hAnsiTheme="majorEastAsia"/>
          <w:color w:val="000000" w:themeColor="text1"/>
          <w:sz w:val="32"/>
          <w:szCs w:val="32"/>
          <w14:textFill>
            <w14:solidFill>
              <w14:schemeClr w14:val="tx1"/>
            </w14:solidFill>
          </w14:textFill>
        </w:rPr>
      </w:pPr>
    </w:p>
    <w:p>
      <w:pPr>
        <w:ind w:firstLine="709"/>
        <w:jc w:val="center"/>
        <w:rPr>
          <w:rFonts w:ascii="黑体" w:eastAsia="黑体" w:hAnsiTheme="majorEastAsia"/>
          <w:color w:val="000000" w:themeColor="text1"/>
          <w:sz w:val="32"/>
          <w:szCs w:val="32"/>
          <w14:textFill>
            <w14:solidFill>
              <w14:schemeClr w14:val="tx1"/>
            </w14:solidFill>
          </w14:textFill>
        </w:rPr>
      </w:pPr>
      <w:r>
        <w:rPr>
          <w:rFonts w:hint="eastAsia" w:ascii="黑体" w:eastAsia="黑体" w:hAnsiTheme="majorEastAsia"/>
          <w:color w:val="000000" w:themeColor="text1"/>
          <w:sz w:val="32"/>
          <w:szCs w:val="32"/>
          <w14:textFill>
            <w14:solidFill>
              <w14:schemeClr w14:val="tx1"/>
            </w14:solidFill>
          </w14:textFill>
        </w:rPr>
        <w:t>第三部分 名词解释</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一、财政拨款收入：是指市级财政当年拨付的资金。</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二、财政专户管理资金：是指缴入财政专户、实行专项管理的高中以上学费、住宿费、高校委托培训费、函大、电大、夜大及短期培训费等教育收费。</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三、事业收入：是指事业单位开展专业活动及辅助活动所取得的收入，不包括教育收费。</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四、事业单位经营收入：是指事业单位在专业业务活动及其辅助活动之外开展独立核算经营活动取得的收入。</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五、其他收入：是指单位取得的除“财政拨款”、“事业收入”、“事业单位经营收入”等以外的收入。</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七、基本支出：是指为保障机构正常运转、完成日常工作任务所必需的开支，其内容包括人员经费和日常公用经费两部分。</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八、项目支出：是指在基本支出之外，为完成特定的行政工作任务或事业发展目标所发生的支出。</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三公”经费：是指纳入本级财政预算管理，单位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426"/>
        <w:rPr>
          <w:rFonts w:ascii="仿宋_GB2312" w:eastAsia="仿宋_GB2312"/>
          <w:b/>
          <w:bCs/>
          <w:color w:val="000000" w:themeColor="text1"/>
          <w:sz w:val="32"/>
          <w:szCs w:val="32"/>
          <w14:textFill>
            <w14:solidFill>
              <w14:schemeClr w14:val="tx1"/>
            </w14:solidFill>
          </w14:textFill>
        </w:rPr>
      </w:pPr>
    </w:p>
    <w:p>
      <w:pPr>
        <w:ind w:firstLine="426"/>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附件：2021年度部门预算表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A21F8"/>
    <w:rsid w:val="000A7C8D"/>
    <w:rsid w:val="000E427C"/>
    <w:rsid w:val="000E6415"/>
    <w:rsid w:val="000F0121"/>
    <w:rsid w:val="00163512"/>
    <w:rsid w:val="00197CC4"/>
    <w:rsid w:val="001A2966"/>
    <w:rsid w:val="001B5DA8"/>
    <w:rsid w:val="00205E20"/>
    <w:rsid w:val="00225252"/>
    <w:rsid w:val="00231B1C"/>
    <w:rsid w:val="002520A3"/>
    <w:rsid w:val="002F2F0E"/>
    <w:rsid w:val="00311D42"/>
    <w:rsid w:val="003179F9"/>
    <w:rsid w:val="00321B6E"/>
    <w:rsid w:val="00364ABF"/>
    <w:rsid w:val="00373D7B"/>
    <w:rsid w:val="003928F8"/>
    <w:rsid w:val="003A0929"/>
    <w:rsid w:val="003A3239"/>
    <w:rsid w:val="003A761F"/>
    <w:rsid w:val="003F497C"/>
    <w:rsid w:val="00436082"/>
    <w:rsid w:val="00454A13"/>
    <w:rsid w:val="0046557E"/>
    <w:rsid w:val="00470C6C"/>
    <w:rsid w:val="004748C7"/>
    <w:rsid w:val="004B5D7D"/>
    <w:rsid w:val="00514787"/>
    <w:rsid w:val="0054457A"/>
    <w:rsid w:val="00545A43"/>
    <w:rsid w:val="00554EEB"/>
    <w:rsid w:val="00564FBA"/>
    <w:rsid w:val="005C65BF"/>
    <w:rsid w:val="005D5310"/>
    <w:rsid w:val="0060502B"/>
    <w:rsid w:val="00643172"/>
    <w:rsid w:val="00671A9B"/>
    <w:rsid w:val="00681C72"/>
    <w:rsid w:val="006857C5"/>
    <w:rsid w:val="00686025"/>
    <w:rsid w:val="0068696D"/>
    <w:rsid w:val="006A0CE5"/>
    <w:rsid w:val="006A512F"/>
    <w:rsid w:val="006C44D9"/>
    <w:rsid w:val="006E0667"/>
    <w:rsid w:val="00715345"/>
    <w:rsid w:val="00722E3C"/>
    <w:rsid w:val="00746831"/>
    <w:rsid w:val="007A79BD"/>
    <w:rsid w:val="00845A4F"/>
    <w:rsid w:val="008747E3"/>
    <w:rsid w:val="008B2FFB"/>
    <w:rsid w:val="00921CA8"/>
    <w:rsid w:val="009336BE"/>
    <w:rsid w:val="00972071"/>
    <w:rsid w:val="0098358A"/>
    <w:rsid w:val="00983B19"/>
    <w:rsid w:val="00984F09"/>
    <w:rsid w:val="009C11AD"/>
    <w:rsid w:val="009D0D41"/>
    <w:rsid w:val="009D38F8"/>
    <w:rsid w:val="00A07812"/>
    <w:rsid w:val="00A12C37"/>
    <w:rsid w:val="00A84336"/>
    <w:rsid w:val="00AC7B36"/>
    <w:rsid w:val="00AD7AE6"/>
    <w:rsid w:val="00BC6702"/>
    <w:rsid w:val="00BF37B0"/>
    <w:rsid w:val="00D6310F"/>
    <w:rsid w:val="00D72B10"/>
    <w:rsid w:val="00E13A03"/>
    <w:rsid w:val="00E35C90"/>
    <w:rsid w:val="00ED2B32"/>
    <w:rsid w:val="00FA2D7B"/>
    <w:rsid w:val="012A1861"/>
    <w:rsid w:val="04C24CD3"/>
    <w:rsid w:val="066D0C7E"/>
    <w:rsid w:val="06BE1DED"/>
    <w:rsid w:val="07EC657B"/>
    <w:rsid w:val="084F3636"/>
    <w:rsid w:val="0C956DB9"/>
    <w:rsid w:val="0D0A4958"/>
    <w:rsid w:val="0E8B0118"/>
    <w:rsid w:val="0FB42DC3"/>
    <w:rsid w:val="10BB1A3D"/>
    <w:rsid w:val="10D93902"/>
    <w:rsid w:val="1187525E"/>
    <w:rsid w:val="11F148A3"/>
    <w:rsid w:val="12616F90"/>
    <w:rsid w:val="12686164"/>
    <w:rsid w:val="136F6984"/>
    <w:rsid w:val="152C3176"/>
    <w:rsid w:val="17024C77"/>
    <w:rsid w:val="196E6983"/>
    <w:rsid w:val="197A3E0F"/>
    <w:rsid w:val="1B7E6932"/>
    <w:rsid w:val="1E1C1FAB"/>
    <w:rsid w:val="20F53F6B"/>
    <w:rsid w:val="21172D08"/>
    <w:rsid w:val="21665C37"/>
    <w:rsid w:val="25097E0B"/>
    <w:rsid w:val="2D6B6ED9"/>
    <w:rsid w:val="2D780E48"/>
    <w:rsid w:val="30DD6B5B"/>
    <w:rsid w:val="3168305B"/>
    <w:rsid w:val="37740D13"/>
    <w:rsid w:val="393007A6"/>
    <w:rsid w:val="39CE1876"/>
    <w:rsid w:val="3AEB3A7E"/>
    <w:rsid w:val="3BBC1D2C"/>
    <w:rsid w:val="3DB812AD"/>
    <w:rsid w:val="423D3584"/>
    <w:rsid w:val="453B6737"/>
    <w:rsid w:val="471314C5"/>
    <w:rsid w:val="48EC3681"/>
    <w:rsid w:val="4A183A49"/>
    <w:rsid w:val="4B17485A"/>
    <w:rsid w:val="4B540996"/>
    <w:rsid w:val="4B901AAA"/>
    <w:rsid w:val="4CB25A45"/>
    <w:rsid w:val="4DC340C1"/>
    <w:rsid w:val="4EB23847"/>
    <w:rsid w:val="4EBE01FD"/>
    <w:rsid w:val="55B34449"/>
    <w:rsid w:val="55C66FFA"/>
    <w:rsid w:val="55CA7913"/>
    <w:rsid w:val="55E70272"/>
    <w:rsid w:val="576B0713"/>
    <w:rsid w:val="58802D5A"/>
    <w:rsid w:val="59CD76D7"/>
    <w:rsid w:val="5A7054A3"/>
    <w:rsid w:val="5A8A41FF"/>
    <w:rsid w:val="5AB45193"/>
    <w:rsid w:val="5B8017DE"/>
    <w:rsid w:val="5CA8687F"/>
    <w:rsid w:val="5DCC7949"/>
    <w:rsid w:val="5F9638AD"/>
    <w:rsid w:val="60AF768B"/>
    <w:rsid w:val="60D15B65"/>
    <w:rsid w:val="60D3160D"/>
    <w:rsid w:val="67471495"/>
    <w:rsid w:val="6AA309C2"/>
    <w:rsid w:val="6AB327AA"/>
    <w:rsid w:val="6B6744E2"/>
    <w:rsid w:val="6D163BCF"/>
    <w:rsid w:val="6D4F0FB6"/>
    <w:rsid w:val="6DD00BE6"/>
    <w:rsid w:val="6F920B9B"/>
    <w:rsid w:val="6F9B7A32"/>
    <w:rsid w:val="72356867"/>
    <w:rsid w:val="72CE3402"/>
    <w:rsid w:val="76236B68"/>
    <w:rsid w:val="7701693E"/>
    <w:rsid w:val="78BD42BC"/>
    <w:rsid w:val="79D11516"/>
    <w:rsid w:val="7A0415DC"/>
    <w:rsid w:val="7B530E71"/>
    <w:rsid w:val="7C57305E"/>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2572</Words>
  <Characters>2770</Characters>
  <Lines>20</Lines>
  <Paragraphs>5</Paragraphs>
  <TotalTime>7</TotalTime>
  <ScaleCrop>false</ScaleCrop>
  <LinksUpToDate>false</LinksUpToDate>
  <CharactersWithSpaces>2785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2022-06-08T03:28:00Z</dcterms:created>
  <dc:creator>null,null,总收发</dc:creator>
  <cp:lastModifiedBy>Administrator</cp:lastModifiedBy>
  <cp:lastPrinted>2022-05-18T02:02:00Z</cp:lastPrinted>
  <dcterms:modified xsi:type="dcterms:W3CDTF">2022-08-31T12:07:17Z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E45FFAD98399432BA0C1F1DB425734BA</vt:lpwstr>
  </property>
</Properties>
</file>