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after="0" w:line="360" w:lineRule="auto"/>
        <w:jc w:val="center"/>
        <w:rPr>
          <w:rFonts w:ascii="宋体" w:hAnsi="宋体" w:eastAsia="宋体" w:cs="宋体"/>
          <w:color w:val="000000"/>
          <w:sz w:val="52"/>
          <w:lang w:eastAsia="zh-CN"/>
        </w:rPr>
      </w:pPr>
    </w:p>
    <w:p>
      <w:pPr>
        <w:pStyle w:val="12"/>
        <w:spacing w:before="0" w:after="0" w:line="360" w:lineRule="auto"/>
        <w:jc w:val="center"/>
        <w:rPr>
          <w:rFonts w:ascii="宋体" w:hAnsi="宋体" w:eastAsia="宋体" w:cs="宋体"/>
          <w:color w:val="000000"/>
          <w:sz w:val="52"/>
          <w:lang w:eastAsia="zh-CN"/>
        </w:rPr>
      </w:pPr>
    </w:p>
    <w:p>
      <w:pPr>
        <w:pStyle w:val="12"/>
        <w:spacing w:before="0" w:after="0" w:line="360" w:lineRule="auto"/>
        <w:jc w:val="center"/>
        <w:rPr>
          <w:rFonts w:ascii="宋体" w:hAnsi="宋体" w:eastAsia="宋体" w:cs="宋体"/>
          <w:color w:val="000000"/>
          <w:sz w:val="52"/>
          <w:lang w:eastAsia="zh-CN"/>
        </w:rPr>
      </w:pPr>
    </w:p>
    <w:p>
      <w:pPr>
        <w:jc w:val="center"/>
        <w:rPr>
          <w:rFonts w:ascii="方正小标宋简体" w:hAnsi="黑体" w:eastAsia="方正小标宋简体"/>
          <w:w w:val="90"/>
          <w:sz w:val="36"/>
          <w:szCs w:val="36"/>
        </w:rPr>
      </w:pPr>
      <w:r>
        <w:rPr>
          <w:rFonts w:hint="eastAsia" w:ascii="方正小标宋简体" w:hAnsi="黑体" w:eastAsia="方正小标宋简体"/>
          <w:w w:val="90"/>
          <w:sz w:val="36"/>
          <w:szCs w:val="36"/>
        </w:rPr>
        <w:t>邓州市2021年畜牧工作站单位预算基本情况说明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邓州市畜牧工作站概况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邓州市畜牧工作站2021年单位预算情况说明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一、单位收支预算总表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仿宋_GB2312" w:eastAsia="仿宋_GB2312"/>
          <w:b/>
          <w:sz w:val="32"/>
          <w:szCs w:val="32"/>
        </w:rPr>
      </w:pPr>
      <w:r>
        <w:rPr>
          <w:rFonts w:hint="eastAsia" w:ascii="黑体" w:eastAsia="黑体" w:hAnsiTheme="majorEastAsia"/>
          <w:sz w:val="32"/>
          <w:szCs w:val="32"/>
        </w:rPr>
        <w:t>邓州市畜牧工作站概况</w:t>
      </w:r>
    </w:p>
    <w:p>
      <w:pPr>
        <w:numPr>
          <w:ilvl w:val="0"/>
          <w:numId w:val="2"/>
        </w:numPr>
        <w:ind w:firstLine="566" w:firstLineChars="177"/>
        <w:rPr>
          <w:rFonts w:ascii="黑体" w:eastAsia="黑体"/>
          <w:sz w:val="32"/>
          <w:szCs w:val="32"/>
        </w:rPr>
      </w:pPr>
      <w:r>
        <w:rPr>
          <w:rFonts w:hint="eastAsia" w:ascii="黑体" w:eastAsia="黑体"/>
          <w:sz w:val="32"/>
          <w:szCs w:val="32"/>
        </w:rPr>
        <w:t>主要职责</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黑体" w:eastAsia="黑体"/>
          <w:sz w:val="32"/>
          <w:szCs w:val="32"/>
          <w:lang w:eastAsia="zh-CN"/>
        </w:rPr>
        <w:t xml:space="preserve"> </w:t>
      </w:r>
      <w:r>
        <w:rPr>
          <w:rFonts w:hint="eastAsia" w:ascii="仿宋_GB2312" w:hAnsi="仿宋_GB2312" w:eastAsia="仿宋_GB2312" w:cs="仿宋_GB2312"/>
          <w:sz w:val="32"/>
          <w:szCs w:val="32"/>
          <w:lang w:eastAsia="zh-CN"/>
        </w:rPr>
        <w:t>邓州市畜牧工作站职责:我站是农业农村局下设的二级全供事业单位,贯彻执行国家和省有关育牧业发展的方针、政策和法律、法规，研究制定畜牧业政策、技术政策指导畜牧业健康、持续、快速发展。</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研究制定畜牧业发展战略组织编制畜牧业中长期规划、年培有发展农民专业合作社,提高畜牧养殖的组织化程度。</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组织和实施，“科教兴牧”工作，负责畜科研项目管理和实施，负责科技教育 培训及新技术推广，组织开展职业技能培训，能够对基层畜牧人员进行职业技能培训。</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建立健全配种服务网络开展市级精液配送中心为体系、县级配种站位骨干、乡村配种站为基础的“市——县 乡”三级配种，服务网络标准化建设实现猪牛、羊人工授精网络全面覆盖,提高牛、猜、羊人工授精覆盖面。</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推行入工授精胚胎移植科学选种选配等品种改良技术，进一步优化种群结构，提高畜禽生产性能。</w:t>
      </w:r>
    </w:p>
    <w:p>
      <w:pPr>
        <w:pStyle w:val="11"/>
        <w:spacing w:before="0" w:after="0" w:line="360" w:lineRule="auto"/>
        <w:ind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关注行业发展的难点热点问题，组织开展调查研究活动，制定适宜当地生产实际的畜牧养殖技术方案，为政府科学决策提供技术支撑。</w:t>
      </w:r>
    </w:p>
    <w:p>
      <w:pPr>
        <w:pStyle w:val="9"/>
        <w:ind w:firstLine="0"/>
        <w:jc w:val="left"/>
        <w:rPr>
          <w:rFonts w:ascii="仿宋_GB2312" w:eastAsia="仿宋_GB2312" w:hAnsiTheme="majorEastAsia"/>
          <w:sz w:val="32"/>
          <w:szCs w:val="32"/>
        </w:rPr>
      </w:pPr>
    </w:p>
    <w:p>
      <w:pPr>
        <w:numPr>
          <w:ilvl w:val="0"/>
          <w:numId w:val="2"/>
        </w:numPr>
        <w:ind w:firstLine="566" w:firstLineChars="177"/>
        <w:rPr>
          <w:rFonts w:ascii="黑体" w:eastAsia="黑体"/>
          <w:sz w:val="32"/>
          <w:szCs w:val="32"/>
        </w:rPr>
      </w:pPr>
      <w:r>
        <w:rPr>
          <w:rFonts w:hint="eastAsia" w:ascii="黑体" w:eastAsia="黑体"/>
          <w:sz w:val="32"/>
          <w:szCs w:val="32"/>
        </w:rPr>
        <w:t>单位预算构成情况</w:t>
      </w:r>
    </w:p>
    <w:p>
      <w:pPr>
        <w:ind w:firstLine="886" w:firstLineChars="277"/>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邓州市畜牧工作站预算包括综合办、会计科、财务科、种畜禽服务科和饲草饲料科的预算。</w:t>
      </w: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邓州市畜牧工作站2021年单位预算情况说明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2021年收入总计96.54万元，支出总计96.54万元，与2020年相比，收入、支出各</w:t>
      </w:r>
      <w:r>
        <w:rPr>
          <w:rFonts w:hint="eastAsia" w:ascii="仿宋_GB2312" w:eastAsia="仿宋_GB2312"/>
          <w:color w:val="000000" w:themeColor="text1"/>
          <w:sz w:val="32"/>
          <w:szCs w:val="32"/>
          <w14:textFill>
            <w14:solidFill>
              <w14:schemeClr w14:val="tx1"/>
            </w14:solidFill>
          </w14:textFill>
        </w:rPr>
        <w:t>降低11.18</w:t>
      </w:r>
      <w:r>
        <w:rPr>
          <w:rFonts w:hint="eastAsia" w:ascii="仿宋_GB2312" w:eastAsia="仿宋_GB2312"/>
          <w:sz w:val="32"/>
          <w:szCs w:val="32"/>
        </w:rPr>
        <w:t xml:space="preserve">万元。主要原因是：三公经费和取消种种畜禽经营许可证发放收费补助费压缩。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2021年收入预算96.54万元，其中：</w:t>
      </w:r>
      <w:r>
        <w:rPr>
          <w:rFonts w:hint="eastAsia" w:eastAsia="仿宋_GB2312"/>
          <w:sz w:val="32"/>
          <w:szCs w:val="32"/>
        </w:rPr>
        <w:t>一般公共预算收入96.54</w:t>
      </w:r>
      <w:r>
        <w:rPr>
          <w:rFonts w:hint="eastAsia" w:ascii="仿宋_GB2312" w:eastAsia="仿宋_GB2312"/>
          <w:sz w:val="32"/>
          <w:szCs w:val="32"/>
        </w:rPr>
        <w:t>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2021年支出预算96.54万元，其中：基本支出84.14万元，占年度计划的87.16%；项目支出12.4万元，占年度计划的12.84%。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2021年一般公共预算收支预算96.54万元，政府性基金收支预算0万元，国有资本经营收支预算0万元，与2021年相比，收入支出</w:t>
      </w:r>
      <w:r>
        <w:rPr>
          <w:rFonts w:hint="eastAsia" w:ascii="仿宋_GB2312" w:eastAsia="仿宋_GB2312"/>
          <w:color w:val="000000" w:themeColor="text1"/>
          <w:sz w:val="32"/>
          <w:szCs w:val="32"/>
          <w14:textFill>
            <w14:solidFill>
              <w14:schemeClr w14:val="tx1"/>
            </w14:solidFill>
          </w14:textFill>
        </w:rPr>
        <w:t>减少11.18</w:t>
      </w:r>
      <w:r>
        <w:rPr>
          <w:rFonts w:hint="eastAsia" w:ascii="仿宋_GB2312" w:eastAsia="仿宋_GB2312"/>
          <w:sz w:val="32"/>
          <w:szCs w:val="32"/>
        </w:rPr>
        <w:t>万元。主要原因是：三公经费和取消种种畜禽经营许可证发放收费补助费压缩。</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96.54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基本支出84.14万元，占87.16%；项目支出12.4万元，占12.84%。</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84.14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人员经费支出82.5万元，占98.05%；公用经费支出    1.64万元，占1.95%。</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2021年“三公”经费预算为1.38万元。比2020年减少1.37万元。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公务接待费1.38万元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2020年减少1.37万元。主要原因：按照中央八项规定，减少公务接待开支。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（一）行政（事业）单位机构运转经费</w:t>
      </w:r>
    </w:p>
    <w:p>
      <w:pPr>
        <w:ind w:firstLine="709"/>
        <w:rPr>
          <w:rFonts w:ascii="仿宋_GB2312" w:eastAsia="仿宋_GB2312"/>
          <w:sz w:val="32"/>
          <w:szCs w:val="32"/>
        </w:rPr>
      </w:pPr>
      <w:r>
        <w:rPr>
          <w:rFonts w:hint="eastAsia" w:ascii="仿宋_GB2312" w:eastAsia="仿宋_GB2312"/>
          <w:sz w:val="32"/>
          <w:szCs w:val="32"/>
        </w:rPr>
        <w:t>2021年机构运转经费支出预算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万元，主要保障机构正常运转及正常履职需要所需支出，包含公用经费、公务交通补贴、工会经费、职工福利费等。我单位不是行政机关，也不是参照公务员管理事业单位，没有机关运行经费支出。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一、财政拨款收入：是指市级财政当年拨付的资金;包括一般公共预算财政拨款、政府性基金预算拨款、国有资本经营预算拨款。</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行政（事业）单位机构运转经费情况：</w:t>
      </w:r>
      <w:r>
        <w:rPr>
          <w:rFonts w:hint="eastAsia" w:ascii="仿宋_GB2312" w:eastAsia="仿宋_GB2312"/>
          <w:sz w:val="32"/>
          <w:szCs w:val="32"/>
        </w:rPr>
        <w:t>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rPr>
          <w:rFonts w:hint="eastAsia" w:ascii="仿宋_GB2312" w:eastAsia="仿宋_GB2312" w:hAnsiTheme="majorEastAsia"/>
          <w:sz w:val="32"/>
          <w:szCs w:val="32"/>
        </w:rPr>
      </w:pPr>
      <w:r>
        <w:rPr>
          <w:rFonts w:hint="eastAsia" w:ascii="仿宋_GB2312" w:eastAsia="仿宋_GB2312" w:hAnsiTheme="majorEastAsia"/>
          <w:sz w:val="32"/>
          <w:szCs w:val="32"/>
        </w:rPr>
        <w:t>一、单位收支预算总表</w:t>
      </w:r>
    </w:p>
    <w:p>
      <w:pPr>
        <w:rPr>
          <w:rFonts w:hint="eastAsia"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B8F5E"/>
    <w:multiLevelType w:val="singleLevel"/>
    <w:tmpl w:val="F37B8F5E"/>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A21F8"/>
    <w:rsid w:val="000A4BB7"/>
    <w:rsid w:val="00163512"/>
    <w:rsid w:val="00197CC4"/>
    <w:rsid w:val="00252A4A"/>
    <w:rsid w:val="002F2F0E"/>
    <w:rsid w:val="00311D42"/>
    <w:rsid w:val="00373D7B"/>
    <w:rsid w:val="003A0929"/>
    <w:rsid w:val="003A3239"/>
    <w:rsid w:val="003D51ED"/>
    <w:rsid w:val="003F497C"/>
    <w:rsid w:val="0041260F"/>
    <w:rsid w:val="00470C6C"/>
    <w:rsid w:val="004B5D7D"/>
    <w:rsid w:val="00514787"/>
    <w:rsid w:val="00545A43"/>
    <w:rsid w:val="00564FBA"/>
    <w:rsid w:val="005953F2"/>
    <w:rsid w:val="00671A9B"/>
    <w:rsid w:val="006769AC"/>
    <w:rsid w:val="006857C5"/>
    <w:rsid w:val="0068696D"/>
    <w:rsid w:val="0069214F"/>
    <w:rsid w:val="006E0667"/>
    <w:rsid w:val="00715345"/>
    <w:rsid w:val="007A79BD"/>
    <w:rsid w:val="008747E3"/>
    <w:rsid w:val="008E7691"/>
    <w:rsid w:val="00921CA8"/>
    <w:rsid w:val="00972071"/>
    <w:rsid w:val="00984F09"/>
    <w:rsid w:val="009D0D41"/>
    <w:rsid w:val="00A42825"/>
    <w:rsid w:val="00AC7B36"/>
    <w:rsid w:val="00AD7AE6"/>
    <w:rsid w:val="00B52A57"/>
    <w:rsid w:val="00BC6702"/>
    <w:rsid w:val="00D72B10"/>
    <w:rsid w:val="00D9330A"/>
    <w:rsid w:val="00E13A03"/>
    <w:rsid w:val="00ED2B32"/>
    <w:rsid w:val="00FF18EC"/>
    <w:rsid w:val="01171CE4"/>
    <w:rsid w:val="01C640C9"/>
    <w:rsid w:val="04C24CD3"/>
    <w:rsid w:val="05101154"/>
    <w:rsid w:val="066D0C7E"/>
    <w:rsid w:val="06BE1DED"/>
    <w:rsid w:val="071E3859"/>
    <w:rsid w:val="07EC657B"/>
    <w:rsid w:val="096D167B"/>
    <w:rsid w:val="0B066570"/>
    <w:rsid w:val="0BD53BE7"/>
    <w:rsid w:val="0C956DB9"/>
    <w:rsid w:val="0D0A4958"/>
    <w:rsid w:val="0E8B0118"/>
    <w:rsid w:val="10464DA8"/>
    <w:rsid w:val="10BB1A3D"/>
    <w:rsid w:val="10D93902"/>
    <w:rsid w:val="11F148A3"/>
    <w:rsid w:val="12616F90"/>
    <w:rsid w:val="12686164"/>
    <w:rsid w:val="128E08F9"/>
    <w:rsid w:val="136F6984"/>
    <w:rsid w:val="17024C77"/>
    <w:rsid w:val="1809089C"/>
    <w:rsid w:val="1AB67D24"/>
    <w:rsid w:val="1E1C1FAB"/>
    <w:rsid w:val="1EB46C82"/>
    <w:rsid w:val="207672EF"/>
    <w:rsid w:val="20F53F6B"/>
    <w:rsid w:val="21172D08"/>
    <w:rsid w:val="25097E0B"/>
    <w:rsid w:val="25807286"/>
    <w:rsid w:val="269A338F"/>
    <w:rsid w:val="28D33680"/>
    <w:rsid w:val="2D780E48"/>
    <w:rsid w:val="2D831B1D"/>
    <w:rsid w:val="3168305B"/>
    <w:rsid w:val="361C16F1"/>
    <w:rsid w:val="364F14CC"/>
    <w:rsid w:val="37740D13"/>
    <w:rsid w:val="3865001D"/>
    <w:rsid w:val="39CE1876"/>
    <w:rsid w:val="3AEB3A7E"/>
    <w:rsid w:val="3B7010B2"/>
    <w:rsid w:val="3B83715A"/>
    <w:rsid w:val="3BBC1D2C"/>
    <w:rsid w:val="3BFD0938"/>
    <w:rsid w:val="3DB812AD"/>
    <w:rsid w:val="423D3584"/>
    <w:rsid w:val="42CF24C8"/>
    <w:rsid w:val="43216BD5"/>
    <w:rsid w:val="43BB561B"/>
    <w:rsid w:val="471314C5"/>
    <w:rsid w:val="48EC3681"/>
    <w:rsid w:val="48EC438D"/>
    <w:rsid w:val="4A183A49"/>
    <w:rsid w:val="4B17485A"/>
    <w:rsid w:val="4B540996"/>
    <w:rsid w:val="4B901AAA"/>
    <w:rsid w:val="4CB25A45"/>
    <w:rsid w:val="4DC340C1"/>
    <w:rsid w:val="4EB23847"/>
    <w:rsid w:val="4EF34651"/>
    <w:rsid w:val="4F3E13C6"/>
    <w:rsid w:val="4F4E22B8"/>
    <w:rsid w:val="50F73FC9"/>
    <w:rsid w:val="551A7A88"/>
    <w:rsid w:val="55CA7913"/>
    <w:rsid w:val="576B0713"/>
    <w:rsid w:val="58802D5A"/>
    <w:rsid w:val="59CD76D7"/>
    <w:rsid w:val="5A7054A3"/>
    <w:rsid w:val="5A9E72FD"/>
    <w:rsid w:val="5AB45193"/>
    <w:rsid w:val="5CA8687F"/>
    <w:rsid w:val="5E335BBD"/>
    <w:rsid w:val="5E861F9F"/>
    <w:rsid w:val="60AF768B"/>
    <w:rsid w:val="60D15B65"/>
    <w:rsid w:val="60D3160D"/>
    <w:rsid w:val="62F249D7"/>
    <w:rsid w:val="65D07131"/>
    <w:rsid w:val="671556C2"/>
    <w:rsid w:val="67471495"/>
    <w:rsid w:val="69170EE2"/>
    <w:rsid w:val="6A2D3CB9"/>
    <w:rsid w:val="6AA309C2"/>
    <w:rsid w:val="6C544A02"/>
    <w:rsid w:val="6CFB21F6"/>
    <w:rsid w:val="6DD00BE6"/>
    <w:rsid w:val="6F920B9B"/>
    <w:rsid w:val="6F9B7A32"/>
    <w:rsid w:val="72356867"/>
    <w:rsid w:val="72CE3402"/>
    <w:rsid w:val="73011871"/>
    <w:rsid w:val="742D4A14"/>
    <w:rsid w:val="7701693E"/>
    <w:rsid w:val="786B7083"/>
    <w:rsid w:val="78BD42BC"/>
    <w:rsid w:val="79D11516"/>
    <w:rsid w:val="7A0415DC"/>
    <w:rsid w:val="7B530E71"/>
    <w:rsid w:val="7CA378FF"/>
    <w:rsid w:val="7CAB2C00"/>
    <w:rsid w:val="7CAB4D9F"/>
    <w:rsid w:val="7CBF006E"/>
    <w:rsid w:val="7CD8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7"/>
    <w:qFormat/>
    <w:uiPriority w:val="0"/>
    <w:pPr>
      <w:spacing w:before="120" w:after="240"/>
      <w:jc w:val="both"/>
    </w:pPr>
    <w:rPr>
      <w:rFonts w:ascii="Calibri" w:hAnsi="Calibri" w:eastAsia="Calibri" w:cs="黑体"/>
      <w:sz w:val="22"/>
      <w:szCs w:val="22"/>
      <w:lang w:val="en-US" w:eastAsia="en-US" w:bidi="ar-SA"/>
    </w:rPr>
  </w:style>
  <w:style w:type="paragraph" w:customStyle="1" w:styleId="12">
    <w:name w:val="Normal_0"/>
    <w:qFormat/>
    <w:uiPriority w:val="0"/>
    <w:pPr>
      <w:spacing w:before="120" w:after="240"/>
      <w:jc w:val="both"/>
    </w:pPr>
    <w:rPr>
      <w:rFonts w:ascii="Calibri" w:hAnsi="Calibri" w:eastAsia="Calibri" w:cs="黑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2944</Words>
  <Characters>3130</Characters>
  <Lines>23</Lines>
  <Paragraphs>6</Paragraphs>
  <TotalTime>10</TotalTime>
  <ScaleCrop>false</ScaleCrop>
  <LinksUpToDate>false</LinksUpToDate>
  <CharactersWithSpaces>3158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2022-06-21T08:07:00Z</cp:lastPrinted>
  <dcterms:modified xsi:type="dcterms:W3CDTF">2022-08-31T12:13:50Z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73BF448741B04155877FDC40DE1FDB01</vt:lpwstr>
  </property>
</Properties>
</file>