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邓州市2021年动物卫生监督所</w:t>
      </w:r>
      <w:r>
        <w:rPr>
          <w:rFonts w:hint="eastAsia" w:ascii="方正小标宋简体" w:hAnsi="黑体" w:eastAsia="方正小标宋简体"/>
          <w:w w:val="90"/>
          <w:sz w:val="44"/>
          <w:szCs w:val="32"/>
          <w:lang w:val="en-US" w:eastAsia="zh-CN"/>
        </w:rPr>
        <w:t>单位</w:t>
      </w:r>
      <w:r>
        <w:rPr>
          <w:rFonts w:hint="eastAsia" w:ascii="方正小标宋简体" w:hAnsi="黑体" w:eastAsia="方正小标宋简体"/>
          <w:w w:val="90"/>
          <w:sz w:val="44"/>
          <w:szCs w:val="32"/>
        </w:rPr>
        <w:t>预算</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邓州市动物卫生监督所概况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邓州市动物卫生监督所2021年单位预算情况说明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邓州市动物卫生监督所概况</w:t>
      </w:r>
    </w:p>
    <w:p>
      <w:pPr>
        <w:rPr>
          <w:rFonts w:ascii="仿宋_GB2312" w:eastAsia="仿宋_GB2312"/>
          <w:b/>
          <w:sz w:val="32"/>
          <w:szCs w:val="32"/>
        </w:rPr>
      </w:pPr>
    </w:p>
    <w:p>
      <w:pPr>
        <w:numPr>
          <w:ilvl w:val="0"/>
          <w:numId w:val="2"/>
        </w:numPr>
        <w:ind w:firstLine="566" w:firstLineChars="177"/>
        <w:rPr>
          <w:rFonts w:ascii="黑体" w:eastAsia="黑体"/>
          <w:sz w:val="32"/>
          <w:szCs w:val="32"/>
        </w:rPr>
      </w:pPr>
      <w:r>
        <w:rPr>
          <w:rFonts w:hint="eastAsia" w:ascii="黑体" w:eastAsia="黑体"/>
          <w:sz w:val="32"/>
          <w:szCs w:val="32"/>
        </w:rPr>
        <w:t>主要职责</w:t>
      </w:r>
    </w:p>
    <w:p>
      <w:pPr>
        <w:ind w:firstLine="640" w:firstLineChars="200"/>
        <w:rPr>
          <w:rFonts w:ascii="仿宋_GB2312" w:eastAsia="仿宋_GB2312"/>
          <w:sz w:val="32"/>
          <w:szCs w:val="32"/>
        </w:rPr>
      </w:pPr>
      <w:r>
        <w:rPr>
          <w:rFonts w:hint="eastAsia" w:ascii="仿宋_GB2312" w:eastAsia="仿宋_GB2312"/>
          <w:sz w:val="32"/>
          <w:szCs w:val="32"/>
        </w:rPr>
        <w:t>负责全市动物出栏环节的产地检疫和全市屠宰企业的屠宰检疫；承担全市病死动物的无害化处理监管；承担构林省际动物卫生监督检查站的日常运行；承担发生重大动物疫情时的扑杀、消毒工作；配合局质管科做好“瘦肉精”“非洲猪瘟”等农产品的快速检测。</w:t>
      </w:r>
    </w:p>
    <w:p>
      <w:pPr>
        <w:ind w:firstLine="640" w:firstLineChars="200"/>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邓州市动物卫生监督所预算包括办公室、财务科、无害化处理监督科、第一至第十中队的预算</w:t>
      </w:r>
    </w:p>
    <w:p>
      <w:pPr>
        <w:ind w:firstLine="2880" w:firstLineChars="900"/>
        <w:rPr>
          <w:rFonts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邓州市动物卫生监督所预算情况说明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2021年收入总计944.87万元，支出总计944.87万元，与2020年相比，收入、支出各降低5.05万元。主要原因是：压缩开支。        </w:t>
      </w:r>
    </w:p>
    <w:p>
      <w:pPr>
        <w:rPr>
          <w:rFonts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2021年收入预算944.87万元，其中：</w:t>
      </w:r>
      <w:r>
        <w:rPr>
          <w:rFonts w:hint="eastAsia" w:eastAsia="仿宋_GB2312"/>
          <w:sz w:val="32"/>
          <w:szCs w:val="32"/>
        </w:rPr>
        <w:t>一般公共预算收入</w:t>
      </w:r>
      <w:r>
        <w:rPr>
          <w:rFonts w:hint="eastAsia" w:ascii="仿宋_GB2312" w:eastAsia="仿宋_GB2312"/>
          <w:sz w:val="32"/>
          <w:szCs w:val="32"/>
        </w:rPr>
        <w:t>944.87万元，政府性基金收入0万元，国有资本经营预算收入0万元，财政专户管理资金收入0万元。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2021年支出预算944.87万元，其中：基本支出807.99   万元，占年度计划的85.51%；项目支出136.88万元，占年度计划的14.49%。 </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黑体" w:hAnsi="黑体" w:eastAsia="黑体" w:cs="Times New Roman"/>
          <w:sz w:val="32"/>
          <w:szCs w:val="32"/>
        </w:rPr>
      </w:pPr>
      <w:r>
        <w:rPr>
          <w:rFonts w:hint="eastAsia" w:ascii="仿宋_GB2312" w:eastAsia="仿宋_GB2312"/>
          <w:sz w:val="32"/>
          <w:szCs w:val="32"/>
        </w:rPr>
        <w:t>2021年一般公共预算收支预算9</w:t>
      </w:r>
      <w:r>
        <w:rPr>
          <w:rFonts w:hint="eastAsia" w:ascii="仿宋_GB2312" w:eastAsia="仿宋_GB2312"/>
          <w:sz w:val="32"/>
          <w:szCs w:val="32"/>
          <w:lang w:val="en-US" w:eastAsia="zh-CN"/>
        </w:rPr>
        <w:t>4</w:t>
      </w:r>
      <w:bookmarkStart w:id="0" w:name="_GoBack"/>
      <w:bookmarkEnd w:id="0"/>
      <w:r>
        <w:rPr>
          <w:rFonts w:hint="eastAsia" w:ascii="仿宋_GB2312" w:eastAsia="仿宋_GB2312"/>
          <w:sz w:val="32"/>
          <w:szCs w:val="32"/>
        </w:rPr>
        <w:t>4.87万元，政府性基金收支预算0万元，国有资本经营收支预算0万元，与2020年相比，收入支出减少5.05万元。主要原因是：压缩开支。</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944.87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基本支出807.99万元，占85.51%；项目支出136.88万元，占14.49 %。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 xml:space="preserve">807.99    </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人员经费支出788.56万元，占97.60 %；公用经费支出19.43万元，占2.4 %。</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2021年“三公”经费预算为33万元。比2020年减少8万元。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公务用车购置费及维护费31万元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公务用车维护费31万元。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万元。公务用车运行维护费预算数比2020年减少7万元。主要原因：厉行勤俭节约，压减公务用车运行维护费。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公务接待费2万元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2020年减少1万元。主要原因：按照中央八项规定，减少公务接待开支。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2020年期末，我单位共有车辆14</w:t>
      </w:r>
      <w:r>
        <w:rPr>
          <w:rFonts w:hint="eastAsia" w:ascii="仿宋_GB2312" w:eastAsia="仿宋_GB2312"/>
          <w:color w:val="FF0000"/>
          <w:sz w:val="32"/>
          <w:szCs w:val="32"/>
        </w:rPr>
        <w:t xml:space="preserve"> </w:t>
      </w:r>
      <w:r>
        <w:rPr>
          <w:rFonts w:hint="eastAsia" w:ascii="仿宋_GB2312" w:eastAsia="仿宋_GB2312"/>
          <w:sz w:val="32"/>
          <w:szCs w:val="32"/>
        </w:rPr>
        <w:t>辆，其中：一般公务用车0辆、一般执法执勤车辆5 辆、特种专业技术用车9   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F063BC"/>
    <w:multiLevelType w:val="singleLevel"/>
    <w:tmpl w:val="56F063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54BD9"/>
    <w:rsid w:val="00092F3B"/>
    <w:rsid w:val="000A21F8"/>
    <w:rsid w:val="00163512"/>
    <w:rsid w:val="00197CC4"/>
    <w:rsid w:val="001D2655"/>
    <w:rsid w:val="00296562"/>
    <w:rsid w:val="002A31EF"/>
    <w:rsid w:val="002F2F0E"/>
    <w:rsid w:val="00311D42"/>
    <w:rsid w:val="00373D7B"/>
    <w:rsid w:val="003A0929"/>
    <w:rsid w:val="003A3239"/>
    <w:rsid w:val="003F497C"/>
    <w:rsid w:val="0041102A"/>
    <w:rsid w:val="00470C6C"/>
    <w:rsid w:val="004A63A4"/>
    <w:rsid w:val="004B5D7D"/>
    <w:rsid w:val="004F7768"/>
    <w:rsid w:val="00514787"/>
    <w:rsid w:val="00545A43"/>
    <w:rsid w:val="00564FBA"/>
    <w:rsid w:val="005B595D"/>
    <w:rsid w:val="00630DFF"/>
    <w:rsid w:val="00670F43"/>
    <w:rsid w:val="00671A9B"/>
    <w:rsid w:val="006857C5"/>
    <w:rsid w:val="0068696D"/>
    <w:rsid w:val="006C648E"/>
    <w:rsid w:val="006E0667"/>
    <w:rsid w:val="00715345"/>
    <w:rsid w:val="00763A9E"/>
    <w:rsid w:val="007876F1"/>
    <w:rsid w:val="007A79BD"/>
    <w:rsid w:val="0083133B"/>
    <w:rsid w:val="008747E3"/>
    <w:rsid w:val="00921CA8"/>
    <w:rsid w:val="00944606"/>
    <w:rsid w:val="00972071"/>
    <w:rsid w:val="00984F09"/>
    <w:rsid w:val="009A0537"/>
    <w:rsid w:val="009D0D41"/>
    <w:rsid w:val="00A527E7"/>
    <w:rsid w:val="00AC7B36"/>
    <w:rsid w:val="00AD7AE6"/>
    <w:rsid w:val="00BC6702"/>
    <w:rsid w:val="00C1469C"/>
    <w:rsid w:val="00D710D8"/>
    <w:rsid w:val="00D72B10"/>
    <w:rsid w:val="00DD1E8A"/>
    <w:rsid w:val="00E0218D"/>
    <w:rsid w:val="00E13A03"/>
    <w:rsid w:val="00ED2B32"/>
    <w:rsid w:val="00F937EB"/>
    <w:rsid w:val="00FA7830"/>
    <w:rsid w:val="02F67099"/>
    <w:rsid w:val="04C24CD3"/>
    <w:rsid w:val="05F750B9"/>
    <w:rsid w:val="066D0C7E"/>
    <w:rsid w:val="06BE1DED"/>
    <w:rsid w:val="06F5085C"/>
    <w:rsid w:val="07EC657B"/>
    <w:rsid w:val="0B031FF0"/>
    <w:rsid w:val="0C956DB9"/>
    <w:rsid w:val="0D0A4958"/>
    <w:rsid w:val="0DF8256F"/>
    <w:rsid w:val="0E8B0118"/>
    <w:rsid w:val="10BB1A3D"/>
    <w:rsid w:val="10D93902"/>
    <w:rsid w:val="11F148A3"/>
    <w:rsid w:val="12616F90"/>
    <w:rsid w:val="12686164"/>
    <w:rsid w:val="13295824"/>
    <w:rsid w:val="136F6984"/>
    <w:rsid w:val="17024C77"/>
    <w:rsid w:val="1BD417C5"/>
    <w:rsid w:val="1BF57D8E"/>
    <w:rsid w:val="1C6B678C"/>
    <w:rsid w:val="1D196C5F"/>
    <w:rsid w:val="1E1C1FAB"/>
    <w:rsid w:val="20F53F6B"/>
    <w:rsid w:val="21172D08"/>
    <w:rsid w:val="21227C31"/>
    <w:rsid w:val="247C288B"/>
    <w:rsid w:val="25097E0B"/>
    <w:rsid w:val="255F4967"/>
    <w:rsid w:val="27661746"/>
    <w:rsid w:val="29EA03BB"/>
    <w:rsid w:val="2B1959AE"/>
    <w:rsid w:val="2D780E48"/>
    <w:rsid w:val="2EBB05CA"/>
    <w:rsid w:val="3168305B"/>
    <w:rsid w:val="35FC1243"/>
    <w:rsid w:val="37740D13"/>
    <w:rsid w:val="39CE1876"/>
    <w:rsid w:val="3AEB3A7E"/>
    <w:rsid w:val="3BBC1D2C"/>
    <w:rsid w:val="3D28073A"/>
    <w:rsid w:val="3DB812AD"/>
    <w:rsid w:val="3F924ECF"/>
    <w:rsid w:val="41040419"/>
    <w:rsid w:val="423D3584"/>
    <w:rsid w:val="446059C4"/>
    <w:rsid w:val="44772179"/>
    <w:rsid w:val="471314C5"/>
    <w:rsid w:val="47440E61"/>
    <w:rsid w:val="47A24513"/>
    <w:rsid w:val="48EC3681"/>
    <w:rsid w:val="48FB7154"/>
    <w:rsid w:val="4A183A49"/>
    <w:rsid w:val="4B17485A"/>
    <w:rsid w:val="4B540996"/>
    <w:rsid w:val="4B86067F"/>
    <w:rsid w:val="4B901AAA"/>
    <w:rsid w:val="4BDB34D5"/>
    <w:rsid w:val="4CB25A45"/>
    <w:rsid w:val="4DC340C1"/>
    <w:rsid w:val="4EB23847"/>
    <w:rsid w:val="4F4E22B8"/>
    <w:rsid w:val="55BF499C"/>
    <w:rsid w:val="55CA7913"/>
    <w:rsid w:val="5674133C"/>
    <w:rsid w:val="568648F9"/>
    <w:rsid w:val="576B0713"/>
    <w:rsid w:val="58802D5A"/>
    <w:rsid w:val="59CD76D7"/>
    <w:rsid w:val="5A7054A3"/>
    <w:rsid w:val="5A7735DE"/>
    <w:rsid w:val="5A9E72FD"/>
    <w:rsid w:val="5AB45193"/>
    <w:rsid w:val="5CA8687F"/>
    <w:rsid w:val="5D9A5C80"/>
    <w:rsid w:val="60AF768B"/>
    <w:rsid w:val="60D15B65"/>
    <w:rsid w:val="60D3160D"/>
    <w:rsid w:val="62D534ED"/>
    <w:rsid w:val="666F46E9"/>
    <w:rsid w:val="67471495"/>
    <w:rsid w:val="6AA309C2"/>
    <w:rsid w:val="6ADC1C2A"/>
    <w:rsid w:val="6B001859"/>
    <w:rsid w:val="6DD00BE6"/>
    <w:rsid w:val="6E2F6874"/>
    <w:rsid w:val="6F50558F"/>
    <w:rsid w:val="6F920B9B"/>
    <w:rsid w:val="6F9B7A32"/>
    <w:rsid w:val="71D800F3"/>
    <w:rsid w:val="72356867"/>
    <w:rsid w:val="72CE3402"/>
    <w:rsid w:val="7701693E"/>
    <w:rsid w:val="78BD42BC"/>
    <w:rsid w:val="79D11516"/>
    <w:rsid w:val="7A0415DC"/>
    <w:rsid w:val="7B530E71"/>
    <w:rsid w:val="7CA378FF"/>
    <w:rsid w:val="7CAB2C00"/>
    <w:rsid w:val="7CD4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2598</Words>
  <Characters>2781</Characters>
  <Lines>20</Lines>
  <Paragraphs>5</Paragraphs>
  <TotalTime>3</TotalTime>
  <ScaleCrop>false</ScaleCrop>
  <LinksUpToDate>false</LinksUpToDate>
  <CharactersWithSpaces>2819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2022-08-31T12:18:17Z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94327FB37A1B45598351E0DAA146BA3D</vt:lpwstr>
  </property>
</Properties>
</file>