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olor w:val="000000" w:themeColor="text1"/>
          <w:w w:val="90"/>
          <w:sz w:val="44"/>
          <w:szCs w:val="32"/>
          <w14:textFill>
            <w14:solidFill>
              <w14:schemeClr w14:val="tx1"/>
            </w14:solidFill>
          </w14:textFill>
        </w:rPr>
      </w:pPr>
      <w:r>
        <w:rPr>
          <w:rFonts w:hint="eastAsia" w:ascii="方正小标宋简体" w:hAnsi="黑体" w:eastAsia="方正小标宋简体"/>
          <w:color w:val="000000" w:themeColor="text1"/>
          <w:w w:val="90"/>
          <w:sz w:val="44"/>
          <w:szCs w:val="32"/>
          <w14:textFill>
            <w14:solidFill>
              <w14:schemeClr w14:val="tx1"/>
            </w14:solidFill>
          </w14:textFill>
        </w:rPr>
        <w:t>邓州市2021年兽药饲料监察所单位预算</w:t>
      </w:r>
    </w:p>
    <w:p>
      <w:pPr>
        <w:jc w:val="center"/>
        <w:rPr>
          <w:rFonts w:ascii="方正小标宋简体" w:hAnsi="黑体" w:eastAsia="方正小标宋简体"/>
          <w:color w:val="000000" w:themeColor="text1"/>
          <w:w w:val="90"/>
          <w:sz w:val="44"/>
          <w:szCs w:val="32"/>
          <w14:textFill>
            <w14:solidFill>
              <w14:schemeClr w14:val="tx1"/>
            </w14:solidFill>
          </w14:textFill>
        </w:rPr>
      </w:pPr>
      <w:r>
        <w:rPr>
          <w:rFonts w:hint="eastAsia" w:ascii="方正小标宋简体" w:hAnsi="黑体" w:eastAsia="方正小标宋简体"/>
          <w:color w:val="000000" w:themeColor="text1"/>
          <w:w w:val="90"/>
          <w:sz w:val="44"/>
          <w:szCs w:val="32"/>
          <w14:textFill>
            <w14:solidFill>
              <w14:schemeClr w14:val="tx1"/>
            </w14:solidFill>
          </w14:textFill>
        </w:rPr>
        <w:t>基本情况说明</w:t>
      </w:r>
    </w:p>
    <w:p>
      <w:pPr>
        <w:jc w:val="center"/>
        <w:rPr>
          <w:rFonts w:asciiTheme="majorEastAsia" w:hAnsiTheme="majorEastAsia" w:eastAsiaTheme="majorEastAsia"/>
          <w:b/>
          <w:color w:val="000000" w:themeColor="text1"/>
          <w:sz w:val="28"/>
          <w:szCs w:val="32"/>
          <w14:textFill>
            <w14:solidFill>
              <w14:schemeClr w14:val="tx1"/>
            </w14:solidFill>
          </w14:textFill>
        </w:rPr>
      </w:pPr>
    </w:p>
    <w:p>
      <w:pPr>
        <w:jc w:val="center"/>
        <w:rPr>
          <w:rFonts w:ascii="黑体" w:eastAsia="黑体" w:hAnsiTheme="majorEastAsia"/>
          <w:color w:val="000000" w:themeColor="text1"/>
          <w:sz w:val="36"/>
          <w:szCs w:val="32"/>
          <w14:textFill>
            <w14:solidFill>
              <w14:schemeClr w14:val="tx1"/>
            </w14:solidFill>
          </w14:textFill>
        </w:rPr>
      </w:pPr>
      <w:r>
        <w:rPr>
          <w:rFonts w:hint="eastAsia" w:ascii="黑体" w:eastAsia="黑体" w:hAnsiTheme="majorEastAsia"/>
          <w:color w:val="000000" w:themeColor="text1"/>
          <w:sz w:val="36"/>
          <w:szCs w:val="32"/>
          <w14:textFill>
            <w14:solidFill>
              <w14:schemeClr w14:val="tx1"/>
            </w14:solidFill>
          </w14:textFill>
        </w:rPr>
        <w:t>目  录</w:t>
      </w:r>
    </w:p>
    <w:p>
      <w:pPr>
        <w:spacing w:before="312" w:beforeLines="100"/>
        <w:jc w:val="left"/>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第一部分  邓州市兽药饲料监察所概况</w:t>
      </w:r>
    </w:p>
    <w:p>
      <w:pPr>
        <w:pStyle w:val="9"/>
        <w:numPr>
          <w:ilvl w:val="0"/>
          <w:numId w:val="1"/>
        </w:numPr>
        <w:jc w:val="left"/>
        <w:rPr>
          <w:rFonts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主要职责</w:t>
      </w:r>
    </w:p>
    <w:p>
      <w:pPr>
        <w:pStyle w:val="9"/>
        <w:numPr>
          <w:ilvl w:val="0"/>
          <w:numId w:val="1"/>
        </w:numPr>
        <w:jc w:val="left"/>
        <w:rPr>
          <w:rFonts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预算单位构成情况</w:t>
      </w:r>
    </w:p>
    <w:p>
      <w:pPr>
        <w:jc w:val="left"/>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第二部分 邓州市兽药饲料监察所2021年预算情况说明</w:t>
      </w:r>
    </w:p>
    <w:p>
      <w:pPr>
        <w:jc w:val="left"/>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第三部分 名词解释</w:t>
      </w:r>
    </w:p>
    <w:p>
      <w:pPr>
        <w:rPr>
          <w:rFonts w:ascii="仿宋_GB2312" w:eastAsia="仿宋_GB2312"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附件</w:t>
      </w:r>
      <w:r>
        <w:rPr>
          <w:rFonts w:hint="eastAsia" w:ascii="仿宋_GB2312" w:eastAsia="仿宋_GB2312" w:hAnsiTheme="majorEastAsia"/>
          <w:color w:val="000000" w:themeColor="text1"/>
          <w:sz w:val="32"/>
          <w:szCs w:val="32"/>
          <w14:textFill>
            <w14:solidFill>
              <w14:schemeClr w14:val="tx1"/>
            </w14:solidFill>
          </w14:textFill>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7" w:firstLineChars="133"/>
        <w:rPr>
          <w:rFonts w:ascii="仿宋_GB2312" w:eastAsia="仿宋_GB2312" w:hAnsiTheme="majorEastAsia"/>
          <w:b/>
          <w:color w:val="000000" w:themeColor="text1"/>
          <w:sz w:val="32"/>
          <w:szCs w:val="32"/>
          <w14:textFill>
            <w14:solidFill>
              <w14:schemeClr w14:val="tx1"/>
            </w14:solidFill>
          </w14:textFill>
        </w:rPr>
      </w:pPr>
      <w:r>
        <w:rPr>
          <w:rFonts w:ascii="仿宋_GB2312" w:eastAsia="仿宋_GB2312" w:hAnsiTheme="majorEastAsia"/>
          <w:b/>
          <w:color w:val="000000" w:themeColor="text1"/>
          <w:sz w:val="32"/>
          <w:szCs w:val="32"/>
          <w14:textFill>
            <w14:solidFill>
              <w14:schemeClr w14:val="tx1"/>
            </w14:solidFill>
          </w14:textFill>
        </w:rPr>
        <w:br w:type="page"/>
      </w:r>
    </w:p>
    <w:p>
      <w:pPr>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第一部分</w:t>
      </w:r>
    </w:p>
    <w:p>
      <w:pPr>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邓州市兽药饲料监察所概况</w:t>
      </w:r>
    </w:p>
    <w:p>
      <w:pPr>
        <w:rPr>
          <w:rFonts w:ascii="仿宋_GB2312" w:eastAsia="仿宋_GB2312"/>
          <w:b/>
          <w:color w:val="000000" w:themeColor="text1"/>
          <w:sz w:val="32"/>
          <w:szCs w:val="32"/>
          <w14:textFill>
            <w14:solidFill>
              <w14:schemeClr w14:val="tx1"/>
            </w14:solidFill>
          </w14:textFill>
        </w:rPr>
      </w:pP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一、主要职责</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hAnsiTheme="majorEastAsia"/>
          <w:sz w:val="32"/>
          <w:szCs w:val="32"/>
        </w:rPr>
        <w:t>邓州市兽药饲料监察所</w:t>
      </w:r>
      <w:r>
        <w:rPr>
          <w:rFonts w:ascii="仿宋_GB2312" w:eastAsia="仿宋_GB2312" w:hAnsiTheme="majorEastAsia"/>
          <w:sz w:val="32"/>
          <w:szCs w:val="32"/>
        </w:rPr>
        <w:t>负责全市兽药饲料生产 经营 使用环节 检测监察监督管理 处理兽药饲料生产经营使用中的质量事故和纠纷</w:t>
      </w:r>
    </w:p>
    <w:p>
      <w:pPr>
        <w:ind w:firstLine="566" w:firstLineChars="177"/>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二、预算单位构成情况</w:t>
      </w:r>
    </w:p>
    <w:p>
      <w:pPr>
        <w:ind w:firstLine="566" w:firstLineChars="17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邓州市兽药饲料监察所预算包括综合办公室、财务科和业务科的预算。</w:t>
      </w:r>
    </w:p>
    <w:p>
      <w:pPr>
        <w:jc w:val="center"/>
        <w:rPr>
          <w:rFonts w:ascii="黑体" w:eastAsia="黑体" w:hAnsiTheme="majorEastAsia"/>
          <w:color w:val="000000" w:themeColor="text1"/>
          <w:sz w:val="32"/>
          <w:szCs w:val="32"/>
          <w14:textFill>
            <w14:solidFill>
              <w14:schemeClr w14:val="tx1"/>
            </w14:solidFill>
          </w14:textFill>
        </w:rPr>
      </w:pPr>
    </w:p>
    <w:p>
      <w:pPr>
        <w:jc w:val="center"/>
        <w:rPr>
          <w:rFonts w:ascii="黑体" w:eastAsia="黑体" w:hAnsiTheme="majorEastAsia"/>
          <w:color w:val="000000" w:themeColor="text1"/>
          <w:sz w:val="32"/>
          <w:szCs w:val="32"/>
          <w14:textFill>
            <w14:solidFill>
              <w14:schemeClr w14:val="tx1"/>
            </w14:solidFill>
          </w14:textFill>
        </w:rPr>
      </w:pPr>
    </w:p>
    <w:p>
      <w:pPr>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第二部分</w:t>
      </w:r>
    </w:p>
    <w:p>
      <w:pPr>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邓州市兽药饲料监察所2021年预算情况说明</w:t>
      </w:r>
    </w:p>
    <w:p>
      <w:pPr>
        <w:spacing w:before="312" w:beforeLines="100"/>
        <w:ind w:firstLine="709"/>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一、收入支出预算总体情况说明</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2021年收入总计95.16万元，支出总计95.16万元，与2020年相比，收入、支出各降低10.49万元。主要原因是：项目减少</w:t>
      </w:r>
      <w:r>
        <w:rPr>
          <w:rFonts w:hint="eastAsia"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p>
    <w:p>
      <w:pPr>
        <w:ind w:firstLine="567"/>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二、收入预算总体情况说明</w:t>
      </w:r>
    </w:p>
    <w:p>
      <w:pPr>
        <w:ind w:firstLine="707" w:firstLineChars="221"/>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2021年收入预算95.16万元，其中：</w:t>
      </w:r>
      <w:r>
        <w:rPr>
          <w:rFonts w:hint="eastAsia" w:eastAsia="仿宋_GB2312"/>
          <w:color w:val="000000" w:themeColor="text1"/>
          <w:sz w:val="32"/>
          <w:szCs w:val="32"/>
          <w14:textFill>
            <w14:solidFill>
              <w14:schemeClr w14:val="tx1"/>
            </w14:solidFill>
          </w14:textFill>
        </w:rPr>
        <w:t>一般公共预算收入</w:t>
      </w:r>
      <w:r>
        <w:rPr>
          <w:rFonts w:hint="eastAsia" w:ascii="仿宋_GB2312" w:eastAsia="仿宋_GB2312"/>
          <w:color w:val="000000" w:themeColor="text1"/>
          <w:sz w:val="32"/>
          <w:szCs w:val="32"/>
          <w14:textFill>
            <w14:solidFill>
              <w14:schemeClr w14:val="tx1"/>
            </w14:solidFill>
          </w14:textFill>
        </w:rPr>
        <w:t>95.16万元，政府性基金收入0万元，国有资本经营预算收入0万元，财政专户管理资金收入0万元</w:t>
      </w:r>
      <w:r>
        <w:rPr>
          <w:rFonts w:hint="eastAsia" w:eastAsia="仿宋_GB2312"/>
          <w:color w:val="000000" w:themeColor="text1"/>
          <w:sz w:val="32"/>
          <w:szCs w:val="32"/>
          <w14:textFill>
            <w14:solidFill>
              <w14:schemeClr w14:val="tx1"/>
            </w14:solidFill>
          </w14:textFill>
        </w:rPr>
        <w:t>。</w:t>
      </w:r>
    </w:p>
    <w:p>
      <w:pPr>
        <w:ind w:firstLine="709"/>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三、支出预算总体情况说明</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2021年支出预算95.16万元，其中：基本支出77.46万元，占年度计划的81.39%；项目支出17.7万元，占年度计划的18.61%。 </w:t>
      </w:r>
    </w:p>
    <w:p>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四、财政拨款收支预算总体情况说明</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2021年一般公共预算收支预算95.16万元，政府性基金收支预算0万元，国有资本经营收支预算0万元，与2021年相比，收入支出减少10.49万元。主要原因是：项目减少</w:t>
      </w:r>
      <w:r>
        <w:rPr>
          <w:rFonts w:hint="eastAsia" w:eastAsia="仿宋_GB2312"/>
          <w:color w:val="000000" w:themeColor="text1"/>
          <w:sz w:val="32"/>
          <w:szCs w:val="32"/>
          <w14:textFill>
            <w14:solidFill>
              <w14:schemeClr w14:val="tx1"/>
            </w14:solidFill>
          </w14:textFill>
        </w:rPr>
        <w:t>。</w:t>
      </w:r>
    </w:p>
    <w:p>
      <w:pPr>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五、一般公共预算支出预算情况说明</w:t>
      </w:r>
    </w:p>
    <w:p>
      <w:pPr>
        <w:ind w:firstLine="709"/>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2021</w:t>
      </w:r>
      <w:r>
        <w:rPr>
          <w:rFonts w:ascii="Times New Roman" w:hAnsi="Times New Roman" w:eastAsia="仿宋_GB2312" w:cs="Times New Roman"/>
          <w:color w:val="000000" w:themeColor="text1"/>
          <w:sz w:val="32"/>
          <w:szCs w:val="32"/>
          <w14:textFill>
            <w14:solidFill>
              <w14:schemeClr w14:val="tx1"/>
            </w14:solidFill>
          </w14:textFill>
        </w:rPr>
        <w:t>年一般公共预算支出年初预算为</w:t>
      </w:r>
      <w:r>
        <w:rPr>
          <w:rFonts w:hint="eastAsia" w:ascii="仿宋_GB2312" w:eastAsia="仿宋_GB2312"/>
          <w:color w:val="000000" w:themeColor="text1"/>
          <w:sz w:val="32"/>
          <w:szCs w:val="32"/>
          <w14:textFill>
            <w14:solidFill>
              <w14:schemeClr w14:val="tx1"/>
            </w14:solidFill>
          </w14:textFill>
        </w:rPr>
        <w:t>95.16</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其中</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基本支出</w:t>
      </w:r>
      <w:r>
        <w:rPr>
          <w:rFonts w:hint="eastAsia" w:ascii="仿宋_GB2312" w:eastAsia="仿宋_GB2312"/>
          <w:color w:val="000000" w:themeColor="text1"/>
          <w:sz w:val="32"/>
          <w:szCs w:val="32"/>
          <w14:textFill>
            <w14:solidFill>
              <w14:schemeClr w14:val="tx1"/>
            </w14:solidFill>
          </w14:textFill>
        </w:rPr>
        <w:t>77.46</w:t>
      </w:r>
      <w:r>
        <w:rPr>
          <w:rFonts w:hint="eastAsia" w:ascii="Times New Roman" w:hAnsi="Times New Roman" w:eastAsia="仿宋_GB2312" w:cs="Times New Roman"/>
          <w:color w:val="000000" w:themeColor="text1"/>
          <w:sz w:val="32"/>
          <w:szCs w:val="32"/>
          <w14:textFill>
            <w14:solidFill>
              <w14:schemeClr w14:val="tx1"/>
            </w14:solidFill>
          </w14:textFill>
        </w:rPr>
        <w:t>万元，占81.39%；项目支出</w:t>
      </w:r>
      <w:r>
        <w:rPr>
          <w:rFonts w:hint="eastAsia" w:ascii="仿宋_GB2312" w:eastAsia="仿宋_GB2312"/>
          <w:color w:val="000000" w:themeColor="text1"/>
          <w:sz w:val="32"/>
          <w:szCs w:val="32"/>
          <w14:textFill>
            <w14:solidFill>
              <w14:schemeClr w14:val="tx1"/>
            </w14:solidFill>
          </w14:textFill>
        </w:rPr>
        <w:t>17.7</w:t>
      </w:r>
      <w:r>
        <w:rPr>
          <w:rFonts w:hint="eastAsia" w:ascii="Times New Roman" w:hAnsi="Times New Roman" w:eastAsia="仿宋_GB2312" w:cs="Times New Roman"/>
          <w:color w:val="000000" w:themeColor="text1"/>
          <w:sz w:val="32"/>
          <w:szCs w:val="32"/>
          <w14:textFill>
            <w14:solidFill>
              <w14:schemeClr w14:val="tx1"/>
            </w14:solidFill>
          </w14:textFill>
        </w:rPr>
        <w:t>万元，占18.61%。</w:t>
      </w:r>
    </w:p>
    <w:p>
      <w:pPr>
        <w:ind w:firstLine="709"/>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六、一般公共预算基本支出预算情况说明</w:t>
      </w:r>
    </w:p>
    <w:p>
      <w:pPr>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2021</w:t>
      </w:r>
      <w:r>
        <w:rPr>
          <w:rFonts w:ascii="Times New Roman" w:hAnsi="Times New Roman" w:eastAsia="仿宋_GB2312" w:cs="Times New Roman"/>
          <w:color w:val="000000" w:themeColor="text1"/>
          <w:sz w:val="32"/>
          <w:szCs w:val="32"/>
          <w14:textFill>
            <w14:solidFill>
              <w14:schemeClr w14:val="tx1"/>
            </w14:solidFill>
          </w14:textFill>
        </w:rPr>
        <w:t>年一般公共预算</w:t>
      </w:r>
      <w:r>
        <w:rPr>
          <w:rFonts w:hint="eastAsia" w:ascii="Times New Roman" w:hAnsi="Times New Roman" w:eastAsia="仿宋_GB2312" w:cs="Times New Roman"/>
          <w:color w:val="000000" w:themeColor="text1"/>
          <w:sz w:val="32"/>
          <w:szCs w:val="32"/>
          <w14:textFill>
            <w14:solidFill>
              <w14:schemeClr w14:val="tx1"/>
            </w14:solidFill>
          </w14:textFill>
        </w:rPr>
        <w:t>基本支出</w:t>
      </w:r>
      <w:r>
        <w:rPr>
          <w:rFonts w:ascii="Times New Roman" w:hAnsi="Times New Roman" w:eastAsia="仿宋_GB2312" w:cs="Times New Roman"/>
          <w:color w:val="000000" w:themeColor="text1"/>
          <w:sz w:val="32"/>
          <w:szCs w:val="32"/>
          <w14:textFill>
            <w14:solidFill>
              <w14:schemeClr w14:val="tx1"/>
            </w14:solidFill>
          </w14:textFill>
        </w:rPr>
        <w:t>年初预算为</w:t>
      </w:r>
      <w:r>
        <w:rPr>
          <w:rFonts w:hint="eastAsia" w:ascii="Times New Roman" w:hAnsi="Times New Roman" w:eastAsia="仿宋_GB2312" w:cs="Times New Roman"/>
          <w:color w:val="000000" w:themeColor="text1"/>
          <w:sz w:val="32"/>
          <w:szCs w:val="32"/>
          <w14:textFill>
            <w14:solidFill>
              <w14:schemeClr w14:val="tx1"/>
            </w14:solidFill>
          </w14:textFill>
        </w:rPr>
        <w:t>77.46</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其中</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人员经费支出75.86万元，占97.93%；公用经费支出1.6万元，占2.07%。</w:t>
      </w:r>
    </w:p>
    <w:p>
      <w:pPr>
        <w:ind w:firstLine="709"/>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七、支出预算经济分类情况说明</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 按两套经济分类科目分别反映不同资金来源的全部预算支出。</w:t>
      </w: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八、一般公共预算“三公”经费支出预算情况说明</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2021年“三公”经费预算为2.88万元。比2020减少0.82万元。</w:t>
      </w:r>
    </w:p>
    <w:p>
      <w:pPr>
        <w:kinsoku w:val="0"/>
        <w:overflowPunct w:val="0"/>
        <w:autoSpaceDE w:val="0"/>
        <w:autoSpaceDN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因公出国（境）费0万元</w:t>
      </w:r>
      <w:r>
        <w:rPr>
          <w:rFonts w:hint="eastAsia" w:ascii="仿宋_GB2312" w:eastAsia="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主要用于单位工作人员公务出国（境）的住宿费、旅费、伙食补助费、杂费、培训费等支出。预算数比</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仿宋_GB2312"/>
          <w:color w:val="000000" w:themeColor="text1"/>
          <w:sz w:val="32"/>
          <w:szCs w:val="32"/>
          <w14:textFill>
            <w14:solidFill>
              <w14:schemeClr w14:val="tx1"/>
            </w14:solidFill>
          </w14:textFill>
        </w:rPr>
        <w:t>年保持一致。</w:t>
      </w:r>
    </w:p>
    <w:p>
      <w:pPr>
        <w:ind w:left="19" w:leftChars="9" w:firstLine="623" w:firstLineChars="194"/>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公务用车购置费及维护费2.4万元</w:t>
      </w:r>
      <w:r>
        <w:rPr>
          <w:rFonts w:hint="eastAsia" w:ascii="仿宋_GB2312" w:eastAsia="仿宋_GB2312"/>
          <w:color w:val="000000" w:themeColor="text1"/>
          <w:sz w:val="32"/>
          <w:szCs w:val="32"/>
          <w14:textFill>
            <w14:solidFill>
              <w14:schemeClr w14:val="tx1"/>
            </w14:solidFill>
          </w14:textFill>
        </w:rPr>
        <w:t>，其中，</w:t>
      </w:r>
      <w:r>
        <w:rPr>
          <w:rFonts w:hint="eastAsia" w:ascii="Times New Roman" w:hAnsi="Times New Roman" w:eastAsia="仿宋_GB2312" w:cs="Times New Roman"/>
          <w:color w:val="000000" w:themeColor="text1"/>
          <w:sz w:val="32"/>
          <w:szCs w:val="32"/>
          <w14:textFill>
            <w14:solidFill>
              <w14:schemeClr w14:val="tx1"/>
            </w14:solidFill>
          </w14:textFill>
        </w:rPr>
        <w:t>公务用车购置费0万元；</w:t>
      </w:r>
      <w:r>
        <w:rPr>
          <w:rFonts w:hint="eastAsia" w:ascii="仿宋_GB2312" w:eastAsia="仿宋_GB2312"/>
          <w:color w:val="000000" w:themeColor="text1"/>
          <w:sz w:val="32"/>
          <w:szCs w:val="32"/>
          <w14:textFill>
            <w14:solidFill>
              <w14:schemeClr w14:val="tx1"/>
            </w14:solidFill>
          </w14:textFill>
        </w:rPr>
        <w:t>公务用车维护费2.4万元。</w:t>
      </w:r>
      <w:r>
        <w:rPr>
          <w:rFonts w:hint="eastAsia" w:ascii="Times New Roman" w:hAnsi="Times New Roman" w:eastAsia="仿宋_GB2312" w:cs="Times New Roman"/>
          <w:color w:val="000000" w:themeColor="text1"/>
          <w:sz w:val="32"/>
          <w:szCs w:val="32"/>
          <w14:textFill>
            <w14:solidFill>
              <w14:schemeClr w14:val="tx1"/>
            </w14:solidFill>
          </w14:textFill>
        </w:rPr>
        <w:t>主要用于开展工作所需公务用车的燃料费、维修费、过路过桥费、保险费等支出。公务用车购置费预算数与</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2021</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年持平，均为</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万元。公务用车运行维护费预算数比 2021年减少0.6万元。主要原因：厉行节约。</w:t>
      </w:r>
    </w:p>
    <w:p>
      <w:pPr>
        <w:ind w:left="19" w:leftChars="9" w:firstLine="623" w:firstLineChars="194"/>
        <w:rPr>
          <w:rFonts w:ascii="仿宋_GB2312" w:eastAsia="仿宋_GB2312"/>
          <w:b/>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公务接待费0.48万元</w:t>
      </w:r>
      <w:r>
        <w:rPr>
          <w:rFonts w:hint="eastAsia" w:ascii="仿宋_GB2312"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主要用于按规定开支的各类公务接待支出。预算数比</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2021年减少0.22万元。主要原因：按照中央八项规定，减少公务接待开支。</w:t>
      </w: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九、政府性基金预算支出预算情况说明</w:t>
      </w:r>
    </w:p>
    <w:p>
      <w:pPr>
        <w:ind w:firstLine="709"/>
        <w:rPr>
          <w:rFonts w:ascii="黑体" w:eastAsia="黑体"/>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2021年没有使用政府性基金预算拨款安排的支出。</w:t>
      </w: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十、其他重要事项的情况说明</w:t>
      </w:r>
    </w:p>
    <w:p>
      <w:pPr>
        <w:ind w:firstLine="709"/>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（一）机关运行经费支出情况说明</w:t>
      </w:r>
    </w:p>
    <w:p>
      <w:pPr>
        <w:ind w:firstLine="70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2021年机关运行经费支出预算</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万元，主要保障机关人员工资发放、机构正常运转及正常履职需要。我单位不是行政机关，也不是参照公务员管理事业单位，没有机关运行经费支出。</w:t>
      </w:r>
      <w:bookmarkStart w:id="0" w:name="_GoBack"/>
      <w:bookmarkEnd w:id="0"/>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（二）政府采购支出情况</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2021年无政府采购预算安排。</w:t>
      </w:r>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（三）绩效目标设置情况</w:t>
      </w:r>
    </w:p>
    <w:p>
      <w:pPr>
        <w:ind w:left="638" w:leftChars="304" w:firstLine="64" w:firstLineChars="20"/>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我单位2021年预算，暂未进行项目预算绩效管理工作。</w:t>
      </w:r>
      <w:r>
        <w:rPr>
          <w:rFonts w:hint="eastAsia" w:ascii="仿宋_GB2312" w:eastAsia="仿宋_GB2312"/>
          <w:b/>
          <w:color w:val="000000" w:themeColor="text1"/>
          <w:sz w:val="32"/>
          <w:szCs w:val="32"/>
          <w14:textFill>
            <w14:solidFill>
              <w14:schemeClr w14:val="tx1"/>
            </w14:solidFill>
          </w14:textFill>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2020年期末，我单位共有车辆1辆，其中：一般公务用车0辆、一般执法执勤车辆0辆、特种专业技术用车1辆、其他用车0辆，其他用车主要是离退休干部用车0辆、应急保障车辆0辆。单价50万元以上通用设备0套，单位价值100万元以上专用设备0套。</w:t>
      </w:r>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（五）专项转移支付情况</w:t>
      </w:r>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sz w:val="32"/>
          <w:szCs w:val="32"/>
        </w:rPr>
        <w:t>我单位暂无负责的专项转移支付项目</w:t>
      </w:r>
    </w:p>
    <w:p>
      <w:pPr>
        <w:ind w:firstLine="709"/>
        <w:jc w:val="center"/>
        <w:rPr>
          <w:rFonts w:hint="eastAsia" w:ascii="黑体" w:eastAsia="黑体" w:hAnsiTheme="majorEastAsia"/>
          <w:color w:val="000000" w:themeColor="text1"/>
          <w:sz w:val="32"/>
          <w:szCs w:val="32"/>
          <w14:textFill>
            <w14:solidFill>
              <w14:schemeClr w14:val="tx1"/>
            </w14:solidFill>
          </w14:textFill>
        </w:rPr>
      </w:pPr>
    </w:p>
    <w:p>
      <w:pPr>
        <w:ind w:firstLine="709"/>
        <w:jc w:val="center"/>
        <w:rPr>
          <w:rFonts w:hint="eastAsia" w:ascii="黑体" w:eastAsia="黑体" w:hAnsiTheme="majorEastAsia"/>
          <w:color w:val="000000" w:themeColor="text1"/>
          <w:sz w:val="32"/>
          <w:szCs w:val="32"/>
          <w14:textFill>
            <w14:solidFill>
              <w14:schemeClr w14:val="tx1"/>
            </w14:solidFill>
          </w14:textFill>
        </w:rPr>
      </w:pPr>
    </w:p>
    <w:p>
      <w:pPr>
        <w:ind w:firstLine="709"/>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第三部分 名词解释</w:t>
      </w:r>
    </w:p>
    <w:p>
      <w:pPr>
        <w:ind w:firstLine="70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一、财政拨款收入：是指市级财政当年拨付的资金。</w:t>
      </w:r>
    </w:p>
    <w:p>
      <w:pPr>
        <w:ind w:firstLine="70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二、财政专户管理资金：是指缴入财政专户、实行专项管理的高中以上学费、住宿费、高校委托培训费、函大、电大、夜大及短期培训费等教育收费。</w:t>
      </w:r>
    </w:p>
    <w:p>
      <w:pPr>
        <w:ind w:firstLine="70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三、事业收入：是指事业单位开展专业活动及辅助活动所取得的收入，不包括教育收费。</w:t>
      </w:r>
    </w:p>
    <w:p>
      <w:pPr>
        <w:ind w:firstLine="70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四、事业单位经营收入：是指事业单位在专业业务活动及其辅助活动之外开展独立核算经营活动取得的收入。</w:t>
      </w:r>
    </w:p>
    <w:p>
      <w:pPr>
        <w:ind w:firstLine="70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五、其他收入：是指单位取得的除“财政拨款”、“事业收入”、“事业单位经营收入”等以外的收入。</w:t>
      </w:r>
    </w:p>
    <w:p>
      <w:pPr>
        <w:ind w:firstLine="70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七、基本支出：是指为保障机构正常运转、完成日常工作任务所必需的开支，其内容包括人员经费和日常公用经费两部分。</w:t>
      </w:r>
    </w:p>
    <w:p>
      <w:pPr>
        <w:ind w:firstLine="70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八、项目支出：是指在基本支出之外，为完成特定的行政工作任务或事业发展目标所发生的支出。</w:t>
      </w:r>
    </w:p>
    <w:p>
      <w:pPr>
        <w:ind w:firstLine="70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三公”经费：是指纳入本级财政预算管理，单位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color w:val="000000" w:themeColor="text1"/>
          <w:sz w:val="32"/>
          <w:szCs w:val="32"/>
          <w14:textFill>
            <w14:solidFill>
              <w14:schemeClr w14:val="tx1"/>
            </w14:solidFill>
          </w14:textFill>
        </w:rPr>
      </w:pPr>
    </w:p>
    <w:p>
      <w:pPr>
        <w:ind w:firstLine="426"/>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zgwNzFlNTE1Yjg0NDk5ODI2ZWY3Yzc0NjNiNWEifQ=="/>
  </w:docVars>
  <w:rsids>
    <w:rsidRoot w:val="006E0667"/>
    <w:rsid w:val="00000164"/>
    <w:rsid w:val="00031516"/>
    <w:rsid w:val="000A21F8"/>
    <w:rsid w:val="000E6415"/>
    <w:rsid w:val="00163512"/>
    <w:rsid w:val="00197CC4"/>
    <w:rsid w:val="001A2966"/>
    <w:rsid w:val="00205E20"/>
    <w:rsid w:val="00225252"/>
    <w:rsid w:val="00231B1C"/>
    <w:rsid w:val="00254935"/>
    <w:rsid w:val="002F2F0E"/>
    <w:rsid w:val="002F38DF"/>
    <w:rsid w:val="00311D42"/>
    <w:rsid w:val="00373D7B"/>
    <w:rsid w:val="003928F8"/>
    <w:rsid w:val="003A0929"/>
    <w:rsid w:val="003A3239"/>
    <w:rsid w:val="003A761F"/>
    <w:rsid w:val="003F497C"/>
    <w:rsid w:val="00406DE3"/>
    <w:rsid w:val="00470C6C"/>
    <w:rsid w:val="004A2666"/>
    <w:rsid w:val="004B5D7D"/>
    <w:rsid w:val="00514787"/>
    <w:rsid w:val="00545A43"/>
    <w:rsid w:val="00564FBA"/>
    <w:rsid w:val="005906ED"/>
    <w:rsid w:val="00595747"/>
    <w:rsid w:val="005C65BF"/>
    <w:rsid w:val="005D5310"/>
    <w:rsid w:val="0063198D"/>
    <w:rsid w:val="00671A9B"/>
    <w:rsid w:val="006857C5"/>
    <w:rsid w:val="00686025"/>
    <w:rsid w:val="0068696D"/>
    <w:rsid w:val="006A0CE5"/>
    <w:rsid w:val="006A512F"/>
    <w:rsid w:val="006E0667"/>
    <w:rsid w:val="00715345"/>
    <w:rsid w:val="00731228"/>
    <w:rsid w:val="00746831"/>
    <w:rsid w:val="00772E1F"/>
    <w:rsid w:val="007A79BD"/>
    <w:rsid w:val="00866D40"/>
    <w:rsid w:val="008747E3"/>
    <w:rsid w:val="008B2FFB"/>
    <w:rsid w:val="00921CA8"/>
    <w:rsid w:val="009336BE"/>
    <w:rsid w:val="00972071"/>
    <w:rsid w:val="0098358A"/>
    <w:rsid w:val="00983B19"/>
    <w:rsid w:val="00984F09"/>
    <w:rsid w:val="009D0D41"/>
    <w:rsid w:val="00AC7B36"/>
    <w:rsid w:val="00AD7AE6"/>
    <w:rsid w:val="00BC6702"/>
    <w:rsid w:val="00BF37B0"/>
    <w:rsid w:val="00CB1D36"/>
    <w:rsid w:val="00D72B10"/>
    <w:rsid w:val="00E13A03"/>
    <w:rsid w:val="00E35C90"/>
    <w:rsid w:val="00ED2B32"/>
    <w:rsid w:val="04C24CD3"/>
    <w:rsid w:val="066D0C7E"/>
    <w:rsid w:val="06BE1DED"/>
    <w:rsid w:val="07201CCB"/>
    <w:rsid w:val="07EC657B"/>
    <w:rsid w:val="084F3636"/>
    <w:rsid w:val="0A2B69B2"/>
    <w:rsid w:val="0C956DB9"/>
    <w:rsid w:val="0D0A4958"/>
    <w:rsid w:val="0E8B0118"/>
    <w:rsid w:val="0F233F0C"/>
    <w:rsid w:val="10BB1A3D"/>
    <w:rsid w:val="10D93902"/>
    <w:rsid w:val="11F148A3"/>
    <w:rsid w:val="12616F90"/>
    <w:rsid w:val="12686164"/>
    <w:rsid w:val="136F6984"/>
    <w:rsid w:val="17024C77"/>
    <w:rsid w:val="1C1F333F"/>
    <w:rsid w:val="1E1C1FAB"/>
    <w:rsid w:val="20F53F6B"/>
    <w:rsid w:val="21172D08"/>
    <w:rsid w:val="25097E0B"/>
    <w:rsid w:val="2D780E48"/>
    <w:rsid w:val="30DD6B5B"/>
    <w:rsid w:val="3168305B"/>
    <w:rsid w:val="32D30635"/>
    <w:rsid w:val="37740D13"/>
    <w:rsid w:val="393007A6"/>
    <w:rsid w:val="39CE1876"/>
    <w:rsid w:val="3AEB3A7E"/>
    <w:rsid w:val="3BBC1D2C"/>
    <w:rsid w:val="3C7E1430"/>
    <w:rsid w:val="3DB812AD"/>
    <w:rsid w:val="423D3584"/>
    <w:rsid w:val="453B6737"/>
    <w:rsid w:val="471314C5"/>
    <w:rsid w:val="48EC3681"/>
    <w:rsid w:val="4A183A49"/>
    <w:rsid w:val="4B17485A"/>
    <w:rsid w:val="4B540996"/>
    <w:rsid w:val="4B901AAA"/>
    <w:rsid w:val="4CB25A45"/>
    <w:rsid w:val="4DC340C1"/>
    <w:rsid w:val="4EB23847"/>
    <w:rsid w:val="4EBE01FD"/>
    <w:rsid w:val="55C66FFA"/>
    <w:rsid w:val="55CA7913"/>
    <w:rsid w:val="55E70272"/>
    <w:rsid w:val="576B0713"/>
    <w:rsid w:val="58802D5A"/>
    <w:rsid w:val="58A251C6"/>
    <w:rsid w:val="59CD76D7"/>
    <w:rsid w:val="5A7054A3"/>
    <w:rsid w:val="5AB45193"/>
    <w:rsid w:val="5CA8687F"/>
    <w:rsid w:val="5E3C595A"/>
    <w:rsid w:val="5F9638AD"/>
    <w:rsid w:val="60AF768B"/>
    <w:rsid w:val="60D15B65"/>
    <w:rsid w:val="60D3160D"/>
    <w:rsid w:val="67471495"/>
    <w:rsid w:val="6AA309C2"/>
    <w:rsid w:val="6AB327AA"/>
    <w:rsid w:val="6DD00BE6"/>
    <w:rsid w:val="6F920B9B"/>
    <w:rsid w:val="6F9B7A32"/>
    <w:rsid w:val="72356867"/>
    <w:rsid w:val="72CE3402"/>
    <w:rsid w:val="76236B68"/>
    <w:rsid w:val="7701693E"/>
    <w:rsid w:val="78BD42BC"/>
    <w:rsid w:val="79D11516"/>
    <w:rsid w:val="7A0415DC"/>
    <w:rsid w:val="7B530E71"/>
    <w:rsid w:val="7C57305E"/>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2474</Words>
  <Characters>2667</Characters>
  <Lines>19</Lines>
  <Paragraphs>5</Paragraphs>
  <TotalTime>4</TotalTime>
  <ScaleCrop>false</ScaleCrop>
  <LinksUpToDate>false</LinksUpToDate>
  <CharactersWithSpaces>2687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2022-06-08T03:28:00Z</dcterms:created>
  <dc:creator>null,null,总收发</dc:creator>
  <cp:lastModifiedBy>Administrator</cp:lastModifiedBy>
  <cp:lastPrinted>2022-06-20T09:19:00Z</cp:lastPrinted>
  <dcterms:modified xsi:type="dcterms:W3CDTF">2022-08-31T12:20:08Z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D34F5ADF86FF43128FD989862D708F38</vt:lpwstr>
  </property>
</Properties>
</file>