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2021年邓州市农业机械管理总站单位预算基本情况说明</w:t>
      </w:r>
    </w:p>
    <w:p>
      <w:pPr>
        <w:jc w:val="center"/>
        <w:rPr>
          <w:rFonts w:asciiTheme="majorEastAsia" w:hAnsiTheme="majorEastAsia" w:eastAsiaTheme="majorEastAsia"/>
          <w:b/>
          <w:sz w:val="28"/>
          <w:szCs w:val="32"/>
        </w:rPr>
      </w:pPr>
    </w:p>
    <w:p>
      <w:pPr>
        <w:jc w:val="center"/>
        <w:rPr>
          <w:rFonts w:ascii="黑体" w:eastAsia="黑体" w:hAnsiTheme="majorEastAsia"/>
          <w:sz w:val="36"/>
          <w:szCs w:val="32"/>
        </w:rPr>
      </w:pPr>
      <w:r>
        <w:rPr>
          <w:rFonts w:hint="eastAsia" w:ascii="黑体" w:eastAsia="黑体" w:hAnsiTheme="majorEastAsia"/>
          <w:sz w:val="36"/>
          <w:szCs w:val="32"/>
        </w:rPr>
        <w:t>目  录</w:t>
      </w:r>
    </w:p>
    <w:p>
      <w:pPr>
        <w:spacing w:before="312" w:beforeLines="100"/>
        <w:jc w:val="left"/>
        <w:rPr>
          <w:rFonts w:ascii="黑体" w:eastAsia="黑体" w:hAnsiTheme="majorEastAsia"/>
          <w:sz w:val="32"/>
          <w:szCs w:val="32"/>
        </w:rPr>
      </w:pPr>
      <w:r>
        <w:rPr>
          <w:rFonts w:hint="eastAsia" w:ascii="黑体" w:eastAsia="黑体" w:hAnsiTheme="majorEastAsia"/>
          <w:sz w:val="32"/>
          <w:szCs w:val="32"/>
        </w:rPr>
        <w:t>第一部分  邓州市农业机械管理总站概况</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主要职责</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预算单位构成情况</w:t>
      </w:r>
    </w:p>
    <w:p>
      <w:pPr>
        <w:jc w:val="left"/>
        <w:rPr>
          <w:rFonts w:ascii="黑体" w:eastAsia="黑体" w:hAnsiTheme="majorEastAsia"/>
          <w:sz w:val="32"/>
          <w:szCs w:val="32"/>
        </w:rPr>
      </w:pPr>
      <w:r>
        <w:rPr>
          <w:rFonts w:hint="eastAsia" w:ascii="黑体" w:eastAsia="黑体" w:hAnsiTheme="majorEastAsia"/>
          <w:sz w:val="32"/>
          <w:szCs w:val="32"/>
        </w:rPr>
        <w:t>第二部分 邓州市</w:t>
      </w:r>
      <w:r>
        <w:rPr>
          <w:rFonts w:hint="eastAsia" w:ascii="黑体" w:eastAsia="黑体" w:hAnsiTheme="majorEastAsia"/>
          <w:sz w:val="32"/>
          <w:szCs w:val="32"/>
          <w:lang w:eastAsia="zh-CN"/>
        </w:rPr>
        <w:t>农业机械管理总站</w:t>
      </w:r>
      <w:r>
        <w:rPr>
          <w:rFonts w:hint="eastAsia" w:ascii="黑体" w:eastAsia="黑体" w:hAnsiTheme="majorEastAsia"/>
          <w:sz w:val="32"/>
          <w:szCs w:val="32"/>
        </w:rPr>
        <w:t>2021年单位预算情况说明</w:t>
      </w:r>
    </w:p>
    <w:p>
      <w:pPr>
        <w:jc w:val="left"/>
        <w:rPr>
          <w:rFonts w:ascii="黑体" w:eastAsia="黑体" w:hAnsiTheme="majorEastAsia"/>
          <w:sz w:val="32"/>
          <w:szCs w:val="32"/>
        </w:rPr>
      </w:pPr>
      <w:r>
        <w:rPr>
          <w:rFonts w:hint="eastAsia" w:ascii="黑体" w:eastAsia="黑体" w:hAnsiTheme="majorEastAsia"/>
          <w:sz w:val="32"/>
          <w:szCs w:val="32"/>
        </w:rPr>
        <w:t>第三部分 名词解释</w:t>
      </w:r>
    </w:p>
    <w:p>
      <w:pPr>
        <w:rPr>
          <w:rFonts w:ascii="仿宋_GB2312" w:eastAsia="仿宋_GB2312" w:hAnsiTheme="majorEastAsia"/>
          <w:sz w:val="32"/>
          <w:szCs w:val="32"/>
        </w:rPr>
      </w:pPr>
      <w:r>
        <w:rPr>
          <w:rFonts w:hint="eastAsia" w:ascii="黑体" w:eastAsia="黑体" w:hAnsiTheme="majorEastAsia"/>
          <w:sz w:val="32"/>
          <w:szCs w:val="32"/>
        </w:rPr>
        <w:t>附件</w:t>
      </w:r>
      <w:r>
        <w:rPr>
          <w:rFonts w:hint="eastAsia" w:ascii="仿宋_GB2312" w:eastAsia="仿宋_GB2312" w:hAnsiTheme="majorEastAsia"/>
          <w:sz w:val="32"/>
          <w:szCs w:val="32"/>
        </w:rPr>
        <w:t>：2021年度单位预算表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一、单位收支总体情况表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二、单位收入总体情况表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三、单位支出总体情况表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snapToGrid w:val="0"/>
        <w:spacing w:line="360" w:lineRule="auto"/>
        <w:ind w:firstLine="425" w:firstLineChars="133"/>
        <w:rPr>
          <w:rFonts w:ascii="仿宋_GB2312" w:eastAsia="仿宋_GB2312" w:hAnsiTheme="majorEastAsia"/>
          <w:sz w:val="28"/>
          <w:szCs w:val="28"/>
        </w:rPr>
      </w:pPr>
      <w:r>
        <w:rPr>
          <w:rFonts w:hint="eastAsia" w:ascii="仿宋_GB2312" w:eastAsia="仿宋_GB2312" w:hAnsiTheme="majorEastAsia"/>
          <w:sz w:val="32"/>
          <w:szCs w:val="32"/>
        </w:rPr>
        <w:t>八、政府性基金预算支出情况表</w:t>
      </w:r>
    </w:p>
    <w:p>
      <w:pPr>
        <w:snapToGrid w:val="0"/>
        <w:spacing w:line="360" w:lineRule="auto"/>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snapToGrid w:val="0"/>
        <w:spacing w:line="360" w:lineRule="auto"/>
        <w:ind w:firstLine="372" w:firstLineChars="133"/>
        <w:rPr>
          <w:rFonts w:ascii="仿宋_GB2312" w:eastAsia="仿宋_GB2312" w:hAnsiTheme="majorEastAsia"/>
          <w:sz w:val="28"/>
          <w:szCs w:val="28"/>
        </w:rPr>
      </w:pPr>
    </w:p>
    <w:p>
      <w:pPr>
        <w:ind w:firstLine="427" w:firstLineChars="133"/>
        <w:rPr>
          <w:rFonts w:ascii="仿宋_GB2312" w:eastAsia="仿宋_GB2312" w:hAnsiTheme="majorEastAsia"/>
          <w:b/>
          <w:sz w:val="32"/>
          <w:szCs w:val="32"/>
        </w:rPr>
      </w:pPr>
      <w:r>
        <w:rPr>
          <w:rFonts w:ascii="仿宋_GB2312" w:eastAsia="仿宋_GB2312" w:hAnsiTheme="majorEastAsia"/>
          <w:b/>
          <w:sz w:val="32"/>
          <w:szCs w:val="32"/>
        </w:rPr>
        <w:br w:type="page"/>
      </w:r>
    </w:p>
    <w:p>
      <w:pPr>
        <w:jc w:val="center"/>
        <w:rPr>
          <w:rFonts w:ascii="黑体" w:eastAsia="黑体" w:hAnsiTheme="majorEastAsia"/>
          <w:sz w:val="32"/>
          <w:szCs w:val="32"/>
        </w:rPr>
      </w:pPr>
      <w:r>
        <w:rPr>
          <w:rFonts w:hint="eastAsia" w:ascii="黑体" w:eastAsia="黑体" w:hAnsiTheme="majorEastAsia"/>
          <w:sz w:val="32"/>
          <w:szCs w:val="32"/>
        </w:rPr>
        <w:t>第一部分</w:t>
      </w:r>
    </w:p>
    <w:p>
      <w:pPr>
        <w:jc w:val="center"/>
        <w:rPr>
          <w:rFonts w:ascii="黑体" w:eastAsia="黑体" w:hAnsiTheme="majorEastAsia"/>
          <w:sz w:val="32"/>
          <w:szCs w:val="32"/>
        </w:rPr>
      </w:pPr>
      <w:r>
        <w:rPr>
          <w:rFonts w:hint="eastAsia" w:ascii="黑体" w:eastAsia="黑体" w:hAnsiTheme="majorEastAsia"/>
          <w:sz w:val="32"/>
          <w:szCs w:val="32"/>
        </w:rPr>
        <w:t>邓州市</w:t>
      </w:r>
      <w:r>
        <w:rPr>
          <w:rFonts w:hint="eastAsia" w:ascii="黑体" w:eastAsia="黑体" w:hAnsiTheme="majorEastAsia"/>
          <w:sz w:val="32"/>
          <w:szCs w:val="32"/>
          <w:lang w:eastAsia="zh-CN"/>
        </w:rPr>
        <w:t>农业机械管理总站</w:t>
      </w:r>
      <w:r>
        <w:rPr>
          <w:rFonts w:hint="eastAsia" w:ascii="黑体" w:eastAsia="黑体" w:hAnsiTheme="majorEastAsia"/>
          <w:sz w:val="32"/>
          <w:szCs w:val="32"/>
        </w:rPr>
        <w:t>概况</w:t>
      </w:r>
    </w:p>
    <w:p>
      <w:pPr>
        <w:rPr>
          <w:rFonts w:ascii="仿宋_GB2312" w:eastAsia="仿宋_GB2312"/>
          <w:b/>
          <w:sz w:val="32"/>
          <w:szCs w:val="32"/>
        </w:rPr>
      </w:pPr>
    </w:p>
    <w:p>
      <w:pPr>
        <w:numPr>
          <w:ilvl w:val="0"/>
          <w:numId w:val="2"/>
        </w:numPr>
        <w:ind w:firstLine="566" w:firstLineChars="177"/>
        <w:rPr>
          <w:rFonts w:ascii="黑体" w:eastAsia="黑体"/>
          <w:sz w:val="32"/>
          <w:szCs w:val="32"/>
        </w:rPr>
      </w:pPr>
      <w:r>
        <w:rPr>
          <w:rFonts w:hint="eastAsia" w:ascii="黑体" w:eastAsia="黑体"/>
          <w:sz w:val="32"/>
          <w:szCs w:val="32"/>
        </w:rPr>
        <w:t>主要职责</w:t>
      </w:r>
    </w:p>
    <w:p>
      <w:pPr>
        <w:ind w:firstLine="566" w:firstLineChars="177"/>
        <w:rPr>
          <w:rFonts w:ascii="仿宋_GB2312" w:eastAsia="仿宋_GB2312"/>
          <w:sz w:val="32"/>
          <w:szCs w:val="32"/>
        </w:rPr>
      </w:pPr>
      <w:r>
        <w:rPr>
          <w:rFonts w:hint="eastAsia" w:ascii="仿宋_GB2312" w:eastAsia="仿宋_GB2312"/>
          <w:sz w:val="32"/>
          <w:szCs w:val="32"/>
        </w:rPr>
        <w:t>（一）贯彻执行党和国家有关发展农业机械化的方针，政策和法令、法规，结合我市实际，研究拟定全市农机管理有关具体规定和办法并组织实施。</w:t>
      </w:r>
    </w:p>
    <w:p>
      <w:pPr>
        <w:ind w:firstLine="566" w:firstLineChars="177"/>
        <w:rPr>
          <w:rFonts w:ascii="仿宋_GB2312" w:eastAsia="仿宋_GB2312"/>
          <w:sz w:val="32"/>
          <w:szCs w:val="32"/>
        </w:rPr>
      </w:pPr>
      <w:r>
        <w:rPr>
          <w:rFonts w:hint="eastAsia" w:ascii="仿宋_GB2312" w:eastAsia="仿宋_GB2312"/>
          <w:sz w:val="32"/>
          <w:szCs w:val="32"/>
        </w:rPr>
        <w:t>（二）负责全市农机化发展的宏观管理。</w:t>
      </w:r>
    </w:p>
    <w:p>
      <w:pPr>
        <w:ind w:firstLine="566" w:firstLineChars="177"/>
        <w:rPr>
          <w:rFonts w:ascii="仿宋_GB2312" w:eastAsia="仿宋_GB2312"/>
          <w:sz w:val="32"/>
          <w:szCs w:val="32"/>
        </w:rPr>
      </w:pPr>
      <w:r>
        <w:rPr>
          <w:rFonts w:hint="eastAsia" w:ascii="仿宋_GB2312" w:eastAsia="仿宋_GB2312"/>
          <w:sz w:val="32"/>
          <w:szCs w:val="32"/>
        </w:rPr>
        <w:t>（三）指导我市农机化服务体系建设。</w:t>
      </w:r>
    </w:p>
    <w:p>
      <w:pPr>
        <w:ind w:firstLine="566" w:firstLineChars="177"/>
        <w:rPr>
          <w:rFonts w:ascii="仿宋_GB2312" w:eastAsia="仿宋_GB2312"/>
          <w:sz w:val="32"/>
          <w:szCs w:val="32"/>
        </w:rPr>
      </w:pPr>
      <w:r>
        <w:rPr>
          <w:rFonts w:hint="eastAsia" w:ascii="仿宋_GB2312" w:eastAsia="仿宋_GB2312"/>
          <w:sz w:val="32"/>
          <w:szCs w:val="32"/>
        </w:rPr>
        <w:t>（四）负责农业机械的实验鉴定和农机新产、新技术的引导、推进；负责农业机械及驾驶员的安全监理、教育培训等項工作。</w:t>
      </w:r>
    </w:p>
    <w:p>
      <w:pPr>
        <w:ind w:firstLine="566" w:firstLineChars="177"/>
        <w:rPr>
          <w:rFonts w:ascii="仿宋_GB2312" w:eastAsia="仿宋_GB2312"/>
          <w:sz w:val="32"/>
          <w:szCs w:val="32"/>
        </w:rPr>
      </w:pPr>
    </w:p>
    <w:p>
      <w:pPr>
        <w:ind w:firstLine="566" w:firstLineChars="177"/>
        <w:rPr>
          <w:rFonts w:ascii="黑体" w:eastAsia="黑体"/>
          <w:sz w:val="32"/>
          <w:szCs w:val="32"/>
        </w:rPr>
      </w:pPr>
      <w:r>
        <w:rPr>
          <w:rFonts w:hint="eastAsia" w:ascii="黑体" w:eastAsia="黑体"/>
          <w:sz w:val="32"/>
          <w:szCs w:val="32"/>
        </w:rPr>
        <w:t>二、单位预算构成情况</w:t>
      </w:r>
    </w:p>
    <w:p>
      <w:pPr>
        <w:ind w:firstLine="566" w:firstLineChars="177"/>
        <w:rPr>
          <w:rFonts w:ascii="仿宋_GB2312" w:eastAsia="仿宋_GB2312"/>
          <w:sz w:val="32"/>
          <w:szCs w:val="32"/>
        </w:rPr>
      </w:pPr>
      <w:r>
        <w:rPr>
          <w:rFonts w:hint="eastAsia" w:ascii="仿宋_GB2312" w:eastAsia="仿宋_GB2312"/>
          <w:sz w:val="32"/>
          <w:szCs w:val="32"/>
        </w:rPr>
        <w:t>邓州市</w:t>
      </w:r>
      <w:r>
        <w:rPr>
          <w:rFonts w:hint="eastAsia" w:ascii="仿宋_GB2312" w:eastAsia="仿宋_GB2312"/>
          <w:sz w:val="32"/>
          <w:szCs w:val="32"/>
          <w:lang w:eastAsia="zh-CN"/>
        </w:rPr>
        <w:t>农业机械管理总站</w:t>
      </w:r>
      <w:r>
        <w:rPr>
          <w:rFonts w:hint="eastAsia" w:ascii="仿宋_GB2312" w:eastAsia="仿宋_GB2312"/>
          <w:sz w:val="32"/>
          <w:szCs w:val="32"/>
        </w:rPr>
        <w:t>单位预算包括：办公室、人事科、财审科、管理科、科教科的预算。</w:t>
      </w:r>
    </w:p>
    <w:p>
      <w:pPr>
        <w:rPr>
          <w:rFonts w:ascii="仿宋_GB2312" w:eastAsia="仿宋_GB2312"/>
          <w:sz w:val="32"/>
          <w:szCs w:val="32"/>
        </w:rPr>
      </w:pPr>
    </w:p>
    <w:p>
      <w:pPr>
        <w:jc w:val="center"/>
        <w:rPr>
          <w:rFonts w:ascii="黑体" w:eastAsia="黑体" w:hAnsiTheme="majorEastAsia"/>
          <w:sz w:val="32"/>
          <w:szCs w:val="32"/>
        </w:rPr>
      </w:pPr>
    </w:p>
    <w:p>
      <w:pPr>
        <w:jc w:val="center"/>
        <w:rPr>
          <w:rFonts w:ascii="黑体" w:eastAsia="黑体" w:hAnsiTheme="majorEastAsia"/>
          <w:sz w:val="32"/>
          <w:szCs w:val="32"/>
        </w:rPr>
      </w:pPr>
    </w:p>
    <w:p>
      <w:pPr>
        <w:jc w:val="center"/>
        <w:rPr>
          <w:rFonts w:ascii="黑体" w:eastAsia="黑体" w:hAnsiTheme="majorEastAsia"/>
          <w:sz w:val="32"/>
          <w:szCs w:val="32"/>
        </w:rPr>
      </w:pPr>
    </w:p>
    <w:p>
      <w:pPr>
        <w:jc w:val="center"/>
        <w:rPr>
          <w:rFonts w:ascii="黑体" w:eastAsia="黑体" w:hAnsiTheme="majorEastAsia"/>
          <w:sz w:val="32"/>
          <w:szCs w:val="32"/>
        </w:rPr>
      </w:pPr>
    </w:p>
    <w:p>
      <w:pPr>
        <w:jc w:val="center"/>
        <w:rPr>
          <w:rFonts w:ascii="黑体" w:eastAsia="黑体" w:hAnsiTheme="majorEastAsia"/>
          <w:sz w:val="32"/>
          <w:szCs w:val="32"/>
        </w:rPr>
      </w:pPr>
    </w:p>
    <w:p>
      <w:pPr>
        <w:jc w:val="center"/>
        <w:rPr>
          <w:rFonts w:ascii="黑体" w:eastAsia="黑体" w:hAnsiTheme="majorEastAsia"/>
          <w:sz w:val="32"/>
          <w:szCs w:val="32"/>
        </w:rPr>
      </w:pPr>
    </w:p>
    <w:p>
      <w:pPr>
        <w:jc w:val="center"/>
        <w:rPr>
          <w:rFonts w:ascii="黑体" w:eastAsia="黑体" w:hAnsiTheme="majorEastAsia"/>
          <w:sz w:val="32"/>
          <w:szCs w:val="32"/>
        </w:rPr>
      </w:pPr>
      <w:r>
        <w:rPr>
          <w:rFonts w:hint="eastAsia" w:ascii="黑体" w:eastAsia="黑体" w:hAnsiTheme="majorEastAsia"/>
          <w:sz w:val="32"/>
          <w:szCs w:val="32"/>
        </w:rPr>
        <w:t>第二部分</w:t>
      </w:r>
    </w:p>
    <w:p>
      <w:pPr>
        <w:jc w:val="center"/>
        <w:rPr>
          <w:rFonts w:ascii="黑体" w:eastAsia="黑体" w:hAnsiTheme="majorEastAsia"/>
          <w:sz w:val="32"/>
          <w:szCs w:val="32"/>
        </w:rPr>
      </w:pPr>
      <w:r>
        <w:rPr>
          <w:rFonts w:hint="eastAsia" w:ascii="黑体" w:eastAsia="黑体" w:hAnsiTheme="majorEastAsia"/>
          <w:sz w:val="32"/>
          <w:szCs w:val="32"/>
        </w:rPr>
        <w:t>邓州市</w:t>
      </w:r>
      <w:r>
        <w:rPr>
          <w:rFonts w:hint="eastAsia" w:ascii="黑体" w:eastAsia="黑体" w:hAnsiTheme="majorEastAsia"/>
          <w:sz w:val="32"/>
          <w:szCs w:val="32"/>
          <w:lang w:eastAsia="zh-CN"/>
        </w:rPr>
        <w:t>农业机械管理总站</w:t>
      </w:r>
      <w:r>
        <w:rPr>
          <w:rFonts w:hint="eastAsia" w:ascii="黑体" w:eastAsia="黑体" w:hAnsiTheme="majorEastAsia"/>
          <w:sz w:val="32"/>
          <w:szCs w:val="32"/>
        </w:rPr>
        <w:t>2021年单位预算情况说明</w:t>
      </w:r>
    </w:p>
    <w:p>
      <w:pPr>
        <w:spacing w:before="312" w:beforeLines="100"/>
        <w:ind w:firstLine="709"/>
        <w:rPr>
          <w:rFonts w:ascii="黑体" w:eastAsia="黑体"/>
          <w:sz w:val="32"/>
          <w:szCs w:val="32"/>
        </w:rPr>
      </w:pPr>
      <w:r>
        <w:rPr>
          <w:rFonts w:hint="eastAsia" w:ascii="黑体" w:eastAsia="黑体"/>
          <w:sz w:val="32"/>
          <w:szCs w:val="32"/>
        </w:rPr>
        <w:t>一、收入支出预算总体情况说明</w:t>
      </w:r>
    </w:p>
    <w:p>
      <w:pPr>
        <w:ind w:firstLine="640" w:firstLineChars="200"/>
        <w:rPr>
          <w:rFonts w:ascii="仿宋_GB2312" w:eastAsia="仿宋_GB2312"/>
          <w:sz w:val="32"/>
          <w:szCs w:val="32"/>
        </w:rPr>
      </w:pPr>
      <w:r>
        <w:rPr>
          <w:rFonts w:hint="eastAsia" w:ascii="仿宋_GB2312" w:eastAsia="仿宋_GB2312"/>
          <w:sz w:val="32"/>
          <w:szCs w:val="32"/>
        </w:rPr>
        <w:t>2021年收入总计3513.51万元，支出总计3513.51 万元，与2020年相比，收入、支出各降低</w:t>
      </w:r>
      <w:r>
        <w:rPr>
          <w:rFonts w:hint="eastAsia" w:ascii="仿宋_GB2312" w:eastAsia="仿宋_GB2312"/>
          <w:color w:val="000000" w:themeColor="text1"/>
          <w:sz w:val="32"/>
          <w:szCs w:val="32"/>
          <w14:textFill>
            <w14:solidFill>
              <w14:schemeClr w14:val="tx1"/>
            </w14:solidFill>
          </w14:textFill>
        </w:rPr>
        <w:t>448.64</w:t>
      </w:r>
      <w:r>
        <w:rPr>
          <w:rFonts w:hint="eastAsia" w:ascii="仿宋_GB2312" w:eastAsia="仿宋_GB2312"/>
          <w:sz w:val="32"/>
          <w:szCs w:val="32"/>
        </w:rPr>
        <w:t>万元。主要原因是：上级下达专项经费减少</w:t>
      </w:r>
      <w:r>
        <w:rPr>
          <w:rFonts w:hint="eastAsia" w:eastAsia="仿宋_GB2312"/>
          <w:sz w:val="32"/>
          <w:szCs w:val="32"/>
        </w:rPr>
        <w:t>。</w:t>
      </w:r>
      <w:r>
        <w:rPr>
          <w:rFonts w:ascii="仿宋_GB2312" w:eastAsia="仿宋_GB2312"/>
          <w:sz w:val="32"/>
          <w:szCs w:val="32"/>
        </w:rPr>
        <w:t xml:space="preserve"> </w:t>
      </w:r>
    </w:p>
    <w:p>
      <w:pPr>
        <w:ind w:firstLine="567"/>
        <w:rPr>
          <w:rFonts w:ascii="黑体" w:eastAsia="黑体"/>
          <w:sz w:val="32"/>
          <w:szCs w:val="32"/>
        </w:rPr>
      </w:pPr>
      <w:r>
        <w:rPr>
          <w:rFonts w:hint="eastAsia" w:ascii="黑体" w:eastAsia="黑体"/>
          <w:sz w:val="32"/>
          <w:szCs w:val="32"/>
        </w:rPr>
        <w:t>二、收入预算总体情况说明</w:t>
      </w:r>
    </w:p>
    <w:p>
      <w:pPr>
        <w:ind w:firstLine="640" w:firstLineChars="200"/>
        <w:rPr>
          <w:rFonts w:ascii="仿宋_GB2312" w:eastAsia="仿宋_GB2312"/>
          <w:sz w:val="32"/>
          <w:szCs w:val="32"/>
        </w:rPr>
      </w:pPr>
      <w:r>
        <w:rPr>
          <w:rFonts w:hint="eastAsia" w:ascii="仿宋_GB2312" w:eastAsia="仿宋_GB2312"/>
          <w:sz w:val="32"/>
          <w:szCs w:val="32"/>
        </w:rPr>
        <w:t>2021年收入预算3513.51万元，其中：</w:t>
      </w:r>
      <w:r>
        <w:rPr>
          <w:rFonts w:hint="eastAsia" w:eastAsia="仿宋_GB2312"/>
          <w:sz w:val="32"/>
          <w:szCs w:val="32"/>
        </w:rPr>
        <w:t>一般公共预算收入</w:t>
      </w:r>
      <w:r>
        <w:rPr>
          <w:rFonts w:ascii="仿宋_GB2312" w:eastAsia="仿宋_GB2312"/>
          <w:sz w:val="32"/>
          <w:szCs w:val="32"/>
        </w:rPr>
        <w:t>3513.51</w:t>
      </w:r>
      <w:r>
        <w:rPr>
          <w:rFonts w:hint="eastAsia" w:ascii="仿宋_GB2312" w:eastAsia="仿宋_GB2312"/>
          <w:sz w:val="32"/>
          <w:szCs w:val="32"/>
        </w:rPr>
        <w:t>万元，政府性基金收入0万元，国有资本经营预算收入0万元,财政专户管理资金0万元。</w:t>
      </w:r>
      <w:r>
        <w:rPr>
          <w:rFonts w:ascii="仿宋_GB2312" w:eastAsia="仿宋_GB2312"/>
          <w:sz w:val="32"/>
          <w:szCs w:val="32"/>
        </w:rPr>
        <w:t xml:space="preserve"> </w:t>
      </w:r>
    </w:p>
    <w:p>
      <w:pPr>
        <w:ind w:firstLine="709"/>
        <w:rPr>
          <w:rFonts w:ascii="黑体" w:eastAsia="黑体"/>
          <w:sz w:val="32"/>
          <w:szCs w:val="32"/>
        </w:rPr>
      </w:pPr>
      <w:r>
        <w:rPr>
          <w:rFonts w:hint="eastAsia" w:ascii="黑体" w:eastAsia="黑体"/>
          <w:sz w:val="32"/>
          <w:szCs w:val="32"/>
        </w:rPr>
        <w:t>三、支出预算总体情况说明</w:t>
      </w:r>
    </w:p>
    <w:p>
      <w:pPr>
        <w:ind w:firstLine="709"/>
        <w:rPr>
          <w:rFonts w:ascii="仿宋_GB2312" w:eastAsia="仿宋_GB2312"/>
          <w:sz w:val="32"/>
          <w:szCs w:val="32"/>
        </w:rPr>
      </w:pPr>
      <w:r>
        <w:rPr>
          <w:rFonts w:hint="eastAsia" w:ascii="仿宋_GB2312" w:eastAsia="仿宋_GB2312"/>
          <w:sz w:val="32"/>
          <w:szCs w:val="32"/>
        </w:rPr>
        <w:t xml:space="preserve">2021年支出预算3513.51万元，其中：基本支出196.01万元，占年度计划的5.58%；项目支出3317.50万元，占年度计划的94.42 %。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rPr>
          <w:rFonts w:ascii="仿宋_GB2312" w:eastAsia="仿宋_GB2312"/>
          <w:sz w:val="32"/>
          <w:szCs w:val="32"/>
        </w:rPr>
      </w:pPr>
      <w:r>
        <w:rPr>
          <w:rFonts w:hint="eastAsia" w:ascii="仿宋_GB2312" w:eastAsia="仿宋_GB2312"/>
          <w:sz w:val="32"/>
          <w:szCs w:val="32"/>
        </w:rPr>
        <w:t>2021年一般公共预算收支预算3513.51万元，政府性基金收支预算0万元，国有资本经营收支预算0万元，与2020年相比，收入支出减少448.64万元。主要原因是：上级下达专项经费减少。</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年一般公共预算支出年初预算为</w:t>
      </w:r>
      <w:r>
        <w:rPr>
          <w:rFonts w:hint="eastAsia" w:ascii="Times New Roman" w:hAnsi="Times New Roman" w:eastAsia="仿宋_GB2312" w:cs="Times New Roman"/>
          <w:sz w:val="32"/>
          <w:szCs w:val="32"/>
        </w:rPr>
        <w:t>218.51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基本支出196.01万元，占89.70%；项目支出22.5万元，占10.30%。</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六、一般公共预算基本支出预算情况说明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w:t>
      </w:r>
      <w:r>
        <w:rPr>
          <w:rFonts w:hint="eastAsia" w:ascii="Times New Roman" w:hAnsi="Times New Roman" w:eastAsia="仿宋_GB2312" w:cs="Times New Roman"/>
          <w:sz w:val="32"/>
          <w:szCs w:val="32"/>
        </w:rPr>
        <w:t>基本支出</w:t>
      </w: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196.01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人员经费支出177.12万元，占90.36%；公用经费支出18.89万元，占9.64%。</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lang w:bidi="ar"/>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lang w:bidi="ar"/>
        </w:rPr>
        <w:t>按照《财政部关于印发</w:t>
      </w:r>
      <w:r>
        <w:rPr>
          <w:rFonts w:ascii="Times New Roman" w:hAnsi="Times New Roman" w:eastAsia="仿宋_GB2312" w:cs="Times New Roman"/>
          <w:sz w:val="32"/>
          <w:szCs w:val="32"/>
          <w:lang w:bidi="ar"/>
        </w:rPr>
        <w:t>&lt;</w:t>
      </w:r>
      <w:r>
        <w:rPr>
          <w:rFonts w:hint="eastAsia" w:ascii="Times New Roman" w:hAnsi="Times New Roman" w:eastAsia="仿宋_GB2312" w:cs="仿宋_GB2312"/>
          <w:sz w:val="32"/>
          <w:szCs w:val="32"/>
          <w:lang w:bidi="ar"/>
        </w:rPr>
        <w:t>支出经济分类科目改革方案</w:t>
      </w:r>
      <w:r>
        <w:rPr>
          <w:rFonts w:ascii="Times New Roman" w:hAnsi="Times New Roman" w:eastAsia="仿宋_GB2312" w:cs="Times New Roman"/>
          <w:sz w:val="32"/>
          <w:szCs w:val="32"/>
          <w:lang w:bidi="ar"/>
        </w:rPr>
        <w:t>&gt;</w:t>
      </w:r>
      <w:r>
        <w:rPr>
          <w:rFonts w:hint="eastAsia" w:ascii="Times New Roman" w:hAnsi="Times New Roman" w:eastAsia="仿宋_GB2312" w:cs="仿宋_GB2312"/>
          <w:sz w:val="32"/>
          <w:szCs w:val="32"/>
          <w:lang w:bidi="ar"/>
        </w:rPr>
        <w:t>的通知》（财预〔</w:t>
      </w:r>
      <w:r>
        <w:rPr>
          <w:rFonts w:ascii="Times New Roman" w:hAnsi="Times New Roman" w:eastAsia="仿宋_GB2312" w:cs="Times New Roman"/>
          <w:sz w:val="32"/>
          <w:szCs w:val="32"/>
          <w:lang w:bidi="ar"/>
        </w:rPr>
        <w:t>2017</w:t>
      </w:r>
      <w:r>
        <w:rPr>
          <w:rFonts w:hint="eastAsia" w:ascii="Times New Roman" w:hAnsi="Times New Roman" w:eastAsia="仿宋_GB2312" w:cs="仿宋_GB2312"/>
          <w:sz w:val="32"/>
          <w:szCs w:val="32"/>
          <w:lang w:bidi="ar"/>
        </w:rPr>
        <w:t>〕</w:t>
      </w:r>
      <w:r>
        <w:rPr>
          <w:rFonts w:ascii="Times New Roman" w:hAnsi="Times New Roman" w:eastAsia="仿宋_GB2312" w:cs="Times New Roman"/>
          <w:sz w:val="32"/>
          <w:szCs w:val="32"/>
          <w:lang w:bidi="ar"/>
        </w:rPr>
        <w:t>98</w:t>
      </w:r>
      <w:r>
        <w:rPr>
          <w:rFonts w:hint="eastAsia" w:ascii="Times New Roman" w:hAnsi="Times New Roman" w:eastAsia="仿宋_GB2312" w:cs="仿宋_GB2312"/>
          <w:sz w:val="32"/>
          <w:szCs w:val="32"/>
          <w:lang w:bidi="ar"/>
        </w:rPr>
        <w:t>号）要求，从</w:t>
      </w:r>
      <w:r>
        <w:rPr>
          <w:rFonts w:ascii="Times New Roman" w:hAnsi="Times New Roman" w:eastAsia="仿宋_GB2312" w:cs="Times New Roman"/>
          <w:sz w:val="32"/>
          <w:szCs w:val="32"/>
          <w:lang w:bidi="ar"/>
        </w:rPr>
        <w:t>2018</w:t>
      </w:r>
      <w:r>
        <w:rPr>
          <w:rFonts w:hint="eastAsia" w:ascii="Times New Roman" w:hAnsi="Times New Roman" w:eastAsia="仿宋_GB2312" w:cs="仿宋_GB2312"/>
          <w:sz w:val="32"/>
          <w:szCs w:val="32"/>
          <w:lang w:bidi="ar"/>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lang w:bidi="ar"/>
        </w:rPr>
        <w:t xml:space="preserve">, </w:t>
      </w:r>
      <w:r>
        <w:rPr>
          <w:rFonts w:hint="eastAsia" w:ascii="Times New Roman" w:hAnsi="Times New Roman" w:eastAsia="仿宋_GB2312" w:cs="仿宋_GB2312"/>
          <w:sz w:val="32"/>
          <w:szCs w:val="32"/>
          <w:lang w:bidi="ar"/>
        </w:rPr>
        <w:t>按两套经济分类科目分别反映不同资金来源的全部预算支出。</w:t>
      </w:r>
    </w:p>
    <w:p>
      <w:pPr>
        <w:spacing w:line="600" w:lineRule="exact"/>
        <w:ind w:firstLine="640" w:firstLineChars="200"/>
        <w:rPr>
          <w:rFonts w:hint="eastAsia" w:ascii="Times New Roman" w:hAnsi="Times New Roman" w:eastAsia="黑体" w:cs="黑体"/>
          <w:kern w:val="0"/>
          <w:sz w:val="32"/>
          <w:szCs w:val="32"/>
          <w:lang w:bidi="ar"/>
        </w:rPr>
      </w:pPr>
      <w:r>
        <w:rPr>
          <w:rFonts w:hint="eastAsia" w:ascii="Times New Roman" w:hAnsi="Times New Roman" w:eastAsia="黑体" w:cs="黑体"/>
          <w:kern w:val="0"/>
          <w:sz w:val="32"/>
          <w:szCs w:val="32"/>
          <w:lang w:bidi="ar"/>
        </w:rPr>
        <w:t>八、一般公共预算“三公”经费支出预算情况说明</w:t>
      </w:r>
    </w:p>
    <w:p>
      <w:pPr>
        <w:spacing w:line="600" w:lineRule="exact"/>
        <w:ind w:firstLine="640" w:firstLineChars="200"/>
        <w:rPr>
          <w:rFonts w:ascii="Times New Roman" w:hAnsi="Times New Roman" w:eastAsia="黑体" w:cs="黑体"/>
          <w:kern w:val="0"/>
          <w:sz w:val="32"/>
          <w:szCs w:val="32"/>
          <w:lang w:bidi="ar"/>
        </w:rPr>
      </w:pPr>
      <w:r>
        <w:rPr>
          <w:rFonts w:hint="eastAsia" w:ascii="仿宋_GB2312" w:eastAsia="仿宋_GB2312"/>
          <w:sz w:val="32"/>
          <w:szCs w:val="32"/>
        </w:rPr>
        <w:t>2021年“三公”经费预算为0万元。比2020年减少       4万元。</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仿宋_GB2312" w:eastAsia="仿宋_GB2312"/>
          <w:sz w:val="32"/>
          <w:szCs w:val="32"/>
        </w:rPr>
        <w:t>，</w:t>
      </w:r>
      <w:r>
        <w:rPr>
          <w:rFonts w:hint="eastAsia" w:ascii="Times New Roman" w:hAnsi="Times New Roman" w:eastAsia="仿宋_GB2312" w:cs="仿宋_GB2312"/>
          <w:sz w:val="32"/>
          <w:szCs w:val="32"/>
          <w:lang w:bidi="ar"/>
        </w:rPr>
        <w:t>主要用于单位工作人员公务出国（境）的住宿费、差旅费、伙食补助费、杂费、培训费等支出。预算数比</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w:t>
      </w:r>
      <w:r>
        <w:rPr>
          <w:rFonts w:hint="eastAsia" w:ascii="Times New Roman" w:hAnsi="Times New Roman" w:eastAsia="仿宋_GB2312" w:cs="仿宋_GB2312"/>
          <w:sz w:val="32"/>
          <w:szCs w:val="32"/>
          <w:lang w:bidi="ar"/>
        </w:rPr>
        <w:t>年保持一致。</w:t>
      </w:r>
    </w:p>
    <w:p>
      <w:pPr>
        <w:ind w:left="19" w:leftChars="9" w:firstLine="623" w:firstLineChars="194"/>
        <w:rPr>
          <w:rFonts w:ascii="仿宋_GB2312" w:eastAsia="仿宋_GB2312"/>
          <w:sz w:val="32"/>
          <w:szCs w:val="32"/>
        </w:rPr>
      </w:pPr>
      <w:r>
        <w:rPr>
          <w:rFonts w:hint="eastAsia" w:ascii="仿宋_GB2312" w:eastAsia="仿宋_GB2312"/>
          <w:b/>
          <w:bCs/>
          <w:sz w:val="32"/>
          <w:szCs w:val="32"/>
        </w:rPr>
        <w:t>公务用车购置费及维护费0万元</w:t>
      </w:r>
      <w:r>
        <w:rPr>
          <w:rFonts w:hint="eastAsia" w:ascii="仿宋_GB2312" w:eastAsia="仿宋_GB2312"/>
          <w:sz w:val="32"/>
          <w:szCs w:val="32"/>
        </w:rPr>
        <w:t>，其中，</w:t>
      </w:r>
      <w:r>
        <w:rPr>
          <w:rFonts w:hint="eastAsia" w:ascii="Times New Roman" w:hAnsi="Times New Roman" w:eastAsia="仿宋_GB2312" w:cs="Times New Roman"/>
          <w:sz w:val="32"/>
          <w:szCs w:val="32"/>
          <w:lang w:bidi="ar"/>
        </w:rPr>
        <w:t>公务用车购置费 0万元；</w:t>
      </w:r>
      <w:r>
        <w:rPr>
          <w:rFonts w:hint="eastAsia" w:ascii="仿宋_GB2312" w:eastAsia="仿宋_GB2312"/>
          <w:sz w:val="32"/>
          <w:szCs w:val="32"/>
        </w:rPr>
        <w:t>公务用车维护费0万元。</w:t>
      </w:r>
      <w:r>
        <w:rPr>
          <w:rFonts w:hint="eastAsia" w:ascii="Times New Roman" w:hAnsi="Times New Roman" w:eastAsia="仿宋_GB2312" w:cs="Times New Roman"/>
          <w:sz w:val="32"/>
          <w:szCs w:val="32"/>
          <w:lang w:bidi="ar"/>
        </w:rPr>
        <w:t>主要用于开展工作所需公务用车的燃料费、维修费、过路过桥费、保险费等支出。公务用车购置费预算数与</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年持平，均为</w:t>
      </w:r>
      <w:r>
        <w:rPr>
          <w:rFonts w:ascii="Times New Roman" w:hAnsi="Times New Roman" w:eastAsia="仿宋_GB2312" w:cs="Times New Roman"/>
          <w:sz w:val="32"/>
          <w:szCs w:val="32"/>
          <w:lang w:bidi="ar"/>
        </w:rPr>
        <w:t>0</w:t>
      </w:r>
      <w:r>
        <w:rPr>
          <w:rFonts w:hint="eastAsia" w:ascii="Times New Roman" w:hAnsi="Times New Roman" w:eastAsia="仿宋_GB2312" w:cs="Times New Roman"/>
          <w:sz w:val="32"/>
          <w:szCs w:val="32"/>
          <w:lang w:bidi="ar"/>
        </w:rPr>
        <w:t>万元。公务用车运行维护费预算数比</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2020年减少2.5万元。主要原因：厉行勤俭节约，压减公务用车运行维护费。</w:t>
      </w:r>
    </w:p>
    <w:p>
      <w:pPr>
        <w:ind w:left="19" w:leftChars="9" w:firstLine="623" w:firstLineChars="194"/>
        <w:rPr>
          <w:rFonts w:ascii="仿宋_GB2312" w:eastAsia="仿宋_GB2312"/>
          <w:b/>
          <w:color w:val="FF0000"/>
          <w:sz w:val="32"/>
          <w:szCs w:val="32"/>
        </w:rPr>
      </w:pPr>
      <w:r>
        <w:rPr>
          <w:rFonts w:hint="eastAsia" w:ascii="仿宋_GB2312" w:eastAsia="仿宋_GB2312"/>
          <w:b/>
          <w:bCs/>
          <w:sz w:val="32"/>
          <w:szCs w:val="32"/>
        </w:rPr>
        <w:t>公务接待费0万元</w:t>
      </w:r>
      <w:r>
        <w:rPr>
          <w:rFonts w:hint="eastAsia" w:ascii="仿宋_GB2312" w:eastAsia="仿宋_GB2312"/>
          <w:sz w:val="32"/>
          <w:szCs w:val="32"/>
        </w:rPr>
        <w:t>。</w:t>
      </w:r>
      <w:r>
        <w:rPr>
          <w:rFonts w:hint="eastAsia" w:ascii="Times New Roman" w:hAnsi="Times New Roman" w:eastAsia="仿宋_GB2312" w:cs="Times New Roman"/>
          <w:sz w:val="32"/>
          <w:szCs w:val="32"/>
          <w:lang w:bidi="ar"/>
        </w:rPr>
        <w:t>主要用于按规定开支的各类公务接待支出。预算数比</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2020年减少1.5万元。主要原因：按照中央八项规定，减少公务接待开支。</w:t>
      </w:r>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2021年没有使用政府性基金预算拨款安排的支出。</w:t>
      </w:r>
    </w:p>
    <w:p>
      <w:pPr>
        <w:ind w:firstLine="709"/>
        <w:rPr>
          <w:rFonts w:ascii="黑体" w:eastAsia="黑体"/>
          <w:sz w:val="32"/>
          <w:szCs w:val="32"/>
        </w:rPr>
      </w:pPr>
      <w:r>
        <w:rPr>
          <w:rFonts w:hint="eastAsia" w:ascii="黑体" w:eastAsia="黑体"/>
          <w:sz w:val="32"/>
          <w:szCs w:val="32"/>
        </w:rPr>
        <w:t>十、其他重要事项的情况说明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ascii="仿宋_GB2312" w:eastAsia="仿宋_GB2312"/>
          <w:sz w:val="32"/>
          <w:szCs w:val="32"/>
        </w:rPr>
      </w:pPr>
      <w:r>
        <w:rPr>
          <w:rFonts w:hint="eastAsia" w:ascii="仿宋_GB2312" w:eastAsia="仿宋_GB2312"/>
          <w:sz w:val="32"/>
          <w:szCs w:val="32"/>
        </w:rPr>
        <w:t>2021年机关运行经费支出预算196.01万元，主要保障机关人员工资发放、机构正常运转及正常履职需要。</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ascii="仿宋_GB2312" w:eastAsia="仿宋_GB2312"/>
          <w:sz w:val="32"/>
          <w:szCs w:val="32"/>
        </w:rPr>
      </w:pPr>
      <w:r>
        <w:rPr>
          <w:rFonts w:hint="eastAsia" w:ascii="仿宋_GB2312" w:eastAsia="仿宋_GB2312"/>
          <w:sz w:val="32"/>
          <w:szCs w:val="32"/>
        </w:rPr>
        <w:t>2021年无政府采购预算安排。</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ind w:firstLine="640" w:firstLineChars="200"/>
        <w:rPr>
          <w:rFonts w:ascii="仿宋_GB2312" w:eastAsia="仿宋_GB2312"/>
          <w:sz w:val="32"/>
          <w:szCs w:val="32"/>
        </w:rPr>
      </w:pPr>
      <w:r>
        <w:rPr>
          <w:rFonts w:hint="eastAsia" w:ascii="仿宋_GB2312" w:eastAsia="仿宋_GB2312"/>
          <w:sz w:val="32"/>
          <w:szCs w:val="32"/>
        </w:rPr>
        <w:t>2021年，我单位拟组织对农机购置补贴等1个项目进行预算绩效评价，涉及资金3295万元。</w:t>
      </w:r>
    </w:p>
    <w:p>
      <w:pPr>
        <w:ind w:firstLine="709"/>
        <w:rPr>
          <w:rFonts w:ascii="仿宋_GB2312" w:eastAsia="仿宋_GB2312"/>
          <w:b/>
          <w:sz w:val="32"/>
          <w:szCs w:val="32"/>
        </w:rPr>
      </w:pPr>
      <w:r>
        <w:rPr>
          <w:rFonts w:hint="eastAsia" w:ascii="仿宋_GB2312" w:eastAsia="仿宋_GB2312"/>
          <w:b/>
          <w:sz w:val="32"/>
          <w:szCs w:val="32"/>
        </w:rPr>
        <w:t>（四）国有资产占用情况</w:t>
      </w:r>
    </w:p>
    <w:p>
      <w:pPr>
        <w:ind w:firstLine="709"/>
        <w:rPr>
          <w:rFonts w:ascii="仿宋_GB2312" w:eastAsia="仿宋_GB2312"/>
          <w:color w:val="000000" w:themeColor="text1"/>
          <w:sz w:val="32"/>
          <w:szCs w:val="32"/>
          <w:highlight w:val="yellow"/>
          <w14:textFill>
            <w14:solidFill>
              <w14:schemeClr w14:val="tx1"/>
            </w14:solidFill>
          </w14:textFill>
        </w:rPr>
      </w:pPr>
      <w:r>
        <w:rPr>
          <w:rFonts w:hint="eastAsia" w:ascii="仿宋_GB2312" w:eastAsia="仿宋_GB2312"/>
          <w:sz w:val="32"/>
          <w:szCs w:val="32"/>
        </w:rPr>
        <w:t>2020年期末，我单位共有车辆2辆，其中：一般公务用车</w:t>
      </w:r>
      <w:r>
        <w:rPr>
          <w:rFonts w:hint="eastAsia" w:ascii="仿宋_GB2312" w:eastAsia="仿宋_GB2312"/>
          <w:sz w:val="32"/>
          <w:szCs w:val="32"/>
          <w:lang w:val="en-US" w:eastAsia="zh-CN"/>
        </w:rPr>
        <w:t>0</w:t>
      </w:r>
      <w:r>
        <w:rPr>
          <w:rFonts w:hint="eastAsia" w:ascii="仿宋_GB2312" w:eastAsia="仿宋_GB2312"/>
          <w:sz w:val="32"/>
          <w:szCs w:val="32"/>
        </w:rPr>
        <w:t>辆、一般执法执勤车</w:t>
      </w:r>
      <w:bookmarkStart w:id="0" w:name="_GoBack"/>
      <w:bookmarkEnd w:id="0"/>
      <w:r>
        <w:rPr>
          <w:rFonts w:hint="eastAsia" w:ascii="仿宋_GB2312" w:eastAsia="仿宋_GB2312"/>
          <w:sz w:val="32"/>
          <w:szCs w:val="32"/>
        </w:rPr>
        <w:t>辆0辆、特种专业技术用车0辆、其他用车0辆，其他用车主要是离退休干部用0辆、应急保障车辆0辆。单价50万元以上通用设备0套，单位价值100万元以上专用设备0套。</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ind w:firstLine="700" w:firstLineChars="219"/>
        <w:rPr>
          <w:rFonts w:ascii="仿宋_GB2312" w:eastAsia="仿宋_GB2312"/>
          <w:sz w:val="32"/>
          <w:szCs w:val="32"/>
        </w:rPr>
      </w:pPr>
      <w:r>
        <w:rPr>
          <w:rFonts w:hint="eastAsia" w:ascii="仿宋_GB2312" w:eastAsia="仿宋_GB2312"/>
          <w:sz w:val="32"/>
          <w:szCs w:val="32"/>
        </w:rPr>
        <w:t>我单位负责的专项转移支付项目共有1项，主要是： 农机购置补贴项目3295万元。</w:t>
      </w:r>
    </w:p>
    <w:p>
      <w:pPr>
        <w:ind w:firstLine="700" w:firstLineChars="219"/>
        <w:rPr>
          <w:rFonts w:ascii="仿宋_GB2312" w:eastAsia="仿宋_GB2312"/>
          <w:color w:val="FF0000"/>
          <w:sz w:val="32"/>
          <w:szCs w:val="32"/>
        </w:rPr>
      </w:pPr>
    </w:p>
    <w:p>
      <w:pPr>
        <w:ind w:firstLine="709"/>
        <w:jc w:val="center"/>
        <w:rPr>
          <w:rFonts w:ascii="黑体" w:eastAsia="黑体" w:hAnsiTheme="majorEastAsia"/>
          <w:sz w:val="32"/>
          <w:szCs w:val="32"/>
        </w:rPr>
      </w:pPr>
      <w:r>
        <w:rPr>
          <w:rFonts w:hint="eastAsia" w:ascii="黑体" w:eastAsia="黑体" w:hAnsiTheme="majorEastAsia"/>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lang w:bidi="ar"/>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p>
    <w:p>
      <w:pPr>
        <w:ind w:firstLine="426"/>
        <w:rPr>
          <w:rFonts w:ascii="仿宋_GB2312" w:eastAsia="仿宋_GB2312"/>
          <w:b/>
          <w:bCs/>
          <w:sz w:val="32"/>
          <w:szCs w:val="32"/>
        </w:rPr>
      </w:pPr>
    </w:p>
    <w:p>
      <w:pPr>
        <w:ind w:firstLine="426"/>
        <w:rPr>
          <w:rFonts w:ascii="仿宋_GB2312" w:eastAsia="仿宋_GB2312"/>
          <w:b/>
          <w:bCs/>
          <w:sz w:val="32"/>
          <w:szCs w:val="32"/>
        </w:rPr>
      </w:pPr>
      <w:r>
        <w:rPr>
          <w:rFonts w:hint="eastAsia" w:ascii="仿宋_GB2312" w:eastAsia="仿宋_GB2312"/>
          <w:b/>
          <w:bCs/>
          <w:sz w:val="32"/>
          <w:szCs w:val="32"/>
        </w:rPr>
        <w:t>附件：2021年度单位预算表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eastAsia="仿宋_GB2312" w:hAnsiTheme="majorEastAsia"/>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ind w:firstLine="426"/>
        <w:rPr>
          <w:rFonts w:ascii="仿宋_GB2312" w:eastAsia="仿宋_GB2312" w:hAnsiTheme="majorEastAsia"/>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89ACFF"/>
    <w:multiLevelType w:val="singleLevel"/>
    <w:tmpl w:val="BC89ACFF"/>
    <w:lvl w:ilvl="0" w:tentative="0">
      <w:start w:val="1"/>
      <w:numFmt w:val="chineseCounting"/>
      <w:suff w:val="nothing"/>
      <w:lvlText w:val="%1、"/>
      <w:lvlJc w:val="left"/>
      <w:rPr>
        <w:rFonts w:hint="eastAsia"/>
      </w:rPr>
    </w:lvl>
  </w:abstractNum>
  <w:abstractNum w:abstractNumId="1">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NDRhYzRjYzE1NzMyZmE0NGFhZWZjNTExZDQ0ZTcifQ=="/>
  </w:docVars>
  <w:rsids>
    <w:rsidRoot w:val="006E0667"/>
    <w:rsid w:val="00000164"/>
    <w:rsid w:val="00031516"/>
    <w:rsid w:val="00054BD9"/>
    <w:rsid w:val="000A21F8"/>
    <w:rsid w:val="000A7E8A"/>
    <w:rsid w:val="00163512"/>
    <w:rsid w:val="00197CC4"/>
    <w:rsid w:val="002445FA"/>
    <w:rsid w:val="00246228"/>
    <w:rsid w:val="002A31EF"/>
    <w:rsid w:val="002F2F0E"/>
    <w:rsid w:val="00311D42"/>
    <w:rsid w:val="0034199E"/>
    <w:rsid w:val="00373D7B"/>
    <w:rsid w:val="003A0929"/>
    <w:rsid w:val="003A3239"/>
    <w:rsid w:val="003E56D4"/>
    <w:rsid w:val="003F497C"/>
    <w:rsid w:val="00423102"/>
    <w:rsid w:val="00452BA5"/>
    <w:rsid w:val="00470C6C"/>
    <w:rsid w:val="004B5D7D"/>
    <w:rsid w:val="004F7768"/>
    <w:rsid w:val="00514787"/>
    <w:rsid w:val="00545A43"/>
    <w:rsid w:val="00564FBA"/>
    <w:rsid w:val="005B595D"/>
    <w:rsid w:val="00630DFF"/>
    <w:rsid w:val="0063502D"/>
    <w:rsid w:val="0067126A"/>
    <w:rsid w:val="00671A9B"/>
    <w:rsid w:val="006857C5"/>
    <w:rsid w:val="0068696D"/>
    <w:rsid w:val="006C4432"/>
    <w:rsid w:val="006C648E"/>
    <w:rsid w:val="006E0667"/>
    <w:rsid w:val="00715345"/>
    <w:rsid w:val="007526F6"/>
    <w:rsid w:val="00763A9E"/>
    <w:rsid w:val="007A6691"/>
    <w:rsid w:val="007A79BD"/>
    <w:rsid w:val="008073CB"/>
    <w:rsid w:val="0083133B"/>
    <w:rsid w:val="008747E3"/>
    <w:rsid w:val="00921CA8"/>
    <w:rsid w:val="00972071"/>
    <w:rsid w:val="00984F09"/>
    <w:rsid w:val="009A0537"/>
    <w:rsid w:val="009A7167"/>
    <w:rsid w:val="009D0D41"/>
    <w:rsid w:val="00A527E7"/>
    <w:rsid w:val="00AC7B36"/>
    <w:rsid w:val="00AD7AE6"/>
    <w:rsid w:val="00BC6702"/>
    <w:rsid w:val="00C7760F"/>
    <w:rsid w:val="00D57B88"/>
    <w:rsid w:val="00D72B10"/>
    <w:rsid w:val="00E0218D"/>
    <w:rsid w:val="00E13A03"/>
    <w:rsid w:val="00ED2B32"/>
    <w:rsid w:val="00F937EB"/>
    <w:rsid w:val="04C24CD3"/>
    <w:rsid w:val="05F750B9"/>
    <w:rsid w:val="066D0C7E"/>
    <w:rsid w:val="06BE1DED"/>
    <w:rsid w:val="07353853"/>
    <w:rsid w:val="075943D8"/>
    <w:rsid w:val="07EC657B"/>
    <w:rsid w:val="0C956DB9"/>
    <w:rsid w:val="0D0A4958"/>
    <w:rsid w:val="0E8B0118"/>
    <w:rsid w:val="109370E8"/>
    <w:rsid w:val="10BB1A3D"/>
    <w:rsid w:val="10D93902"/>
    <w:rsid w:val="11F148A3"/>
    <w:rsid w:val="12616F90"/>
    <w:rsid w:val="12686164"/>
    <w:rsid w:val="136F6984"/>
    <w:rsid w:val="17024C77"/>
    <w:rsid w:val="1BF57D8E"/>
    <w:rsid w:val="1C6B678C"/>
    <w:rsid w:val="1E1C1FAB"/>
    <w:rsid w:val="20F53F6B"/>
    <w:rsid w:val="21172D08"/>
    <w:rsid w:val="25097E0B"/>
    <w:rsid w:val="296F0F82"/>
    <w:rsid w:val="2D780E48"/>
    <w:rsid w:val="3168305B"/>
    <w:rsid w:val="37740D13"/>
    <w:rsid w:val="39CE1876"/>
    <w:rsid w:val="3AEB3A7E"/>
    <w:rsid w:val="3BBC1D2C"/>
    <w:rsid w:val="3DB812AD"/>
    <w:rsid w:val="41040419"/>
    <w:rsid w:val="423D3584"/>
    <w:rsid w:val="446059C4"/>
    <w:rsid w:val="471314C5"/>
    <w:rsid w:val="48EC3681"/>
    <w:rsid w:val="4A183A49"/>
    <w:rsid w:val="4B17485A"/>
    <w:rsid w:val="4B540996"/>
    <w:rsid w:val="4B86067F"/>
    <w:rsid w:val="4B901AAA"/>
    <w:rsid w:val="4CB25A45"/>
    <w:rsid w:val="4DC340C1"/>
    <w:rsid w:val="4EB23847"/>
    <w:rsid w:val="4F4E22B8"/>
    <w:rsid w:val="55BF499C"/>
    <w:rsid w:val="55CA7913"/>
    <w:rsid w:val="576B0713"/>
    <w:rsid w:val="58802D5A"/>
    <w:rsid w:val="59CD76D7"/>
    <w:rsid w:val="5A7054A3"/>
    <w:rsid w:val="5A8D1CEF"/>
    <w:rsid w:val="5A9E72FD"/>
    <w:rsid w:val="5AB45193"/>
    <w:rsid w:val="5CA8687F"/>
    <w:rsid w:val="60AF768B"/>
    <w:rsid w:val="60D15B65"/>
    <w:rsid w:val="60D3160D"/>
    <w:rsid w:val="67471495"/>
    <w:rsid w:val="6AA309C2"/>
    <w:rsid w:val="6B001859"/>
    <w:rsid w:val="6DD00BE6"/>
    <w:rsid w:val="6F7D5BEC"/>
    <w:rsid w:val="6F920B9B"/>
    <w:rsid w:val="6F9B7A32"/>
    <w:rsid w:val="72356867"/>
    <w:rsid w:val="72CE3402"/>
    <w:rsid w:val="7701693E"/>
    <w:rsid w:val="78BD42BC"/>
    <w:rsid w:val="79D11516"/>
    <w:rsid w:val="7A0415DC"/>
    <w:rsid w:val="7B530E71"/>
    <w:rsid w:val="7CA378FF"/>
    <w:rsid w:val="7CAB2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2651</Words>
  <Characters>2859</Characters>
  <Lines>21</Lines>
  <Paragraphs>5</Paragraphs>
  <TotalTime>14</TotalTime>
  <ScaleCrop>false</ScaleCrop>
  <LinksUpToDate>false</LinksUpToDate>
  <CharactersWithSpaces>2886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孙云龙</cp:lastModifiedBy>
  <cp:lastPrinted>2022-05-18T02:02:00Z</cp:lastPrinted>
  <dcterms:modified xsi:type="dcterms:W3CDTF">2022-09-01T10:17:05Z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54F1558862704F208C71EEEEA3392410</vt:lpwstr>
  </property>
</Properties>
</file>