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olor w:val="000000" w:themeColor="text1"/>
          <w:w w:val="90"/>
          <w:sz w:val="44"/>
          <w:szCs w:val="32"/>
          <w14:textFill>
            <w14:solidFill>
              <w14:schemeClr w14:val="tx1"/>
            </w14:solidFill>
          </w14:textFill>
        </w:rPr>
      </w:pPr>
      <w:r>
        <w:rPr>
          <w:rFonts w:hint="eastAsia" w:ascii="方正小标宋简体" w:hAnsi="黑体" w:eastAsia="方正小标宋简体"/>
          <w:color w:val="000000" w:themeColor="text1"/>
          <w:w w:val="90"/>
          <w:sz w:val="44"/>
          <w:szCs w:val="32"/>
          <w14:textFill>
            <w14:solidFill>
              <w14:schemeClr w14:val="tx1"/>
            </w14:solidFill>
          </w14:textFill>
        </w:rPr>
        <w:t>2021年邓州市农业农村局单位预算</w:t>
      </w:r>
    </w:p>
    <w:p>
      <w:pPr>
        <w:jc w:val="center"/>
        <w:rPr>
          <w:rFonts w:ascii="方正小标宋简体" w:hAnsi="黑体" w:eastAsia="方正小标宋简体"/>
          <w:color w:val="000000" w:themeColor="text1"/>
          <w:w w:val="90"/>
          <w:sz w:val="44"/>
          <w:szCs w:val="32"/>
          <w14:textFill>
            <w14:solidFill>
              <w14:schemeClr w14:val="tx1"/>
            </w14:solidFill>
          </w14:textFill>
        </w:rPr>
      </w:pPr>
      <w:r>
        <w:rPr>
          <w:rFonts w:hint="eastAsia" w:ascii="方正小标宋简体" w:hAnsi="黑体" w:eastAsia="方正小标宋简体"/>
          <w:color w:val="000000" w:themeColor="text1"/>
          <w:w w:val="90"/>
          <w:sz w:val="44"/>
          <w:szCs w:val="32"/>
          <w14:textFill>
            <w14:solidFill>
              <w14:schemeClr w14:val="tx1"/>
            </w14:solidFill>
          </w14:textFill>
        </w:rPr>
        <w:t>基本情况说明</w:t>
      </w:r>
    </w:p>
    <w:p>
      <w:pPr>
        <w:jc w:val="center"/>
        <w:rPr>
          <w:rFonts w:asciiTheme="majorEastAsia" w:hAnsiTheme="majorEastAsia" w:eastAsiaTheme="majorEastAsia"/>
          <w:b/>
          <w:color w:val="000000" w:themeColor="text1"/>
          <w:sz w:val="28"/>
          <w:szCs w:val="32"/>
          <w14:textFill>
            <w14:solidFill>
              <w14:schemeClr w14:val="tx1"/>
            </w14:solidFill>
          </w14:textFill>
        </w:rPr>
      </w:pPr>
    </w:p>
    <w:p>
      <w:pPr>
        <w:jc w:val="center"/>
        <w:rPr>
          <w:rFonts w:ascii="黑体" w:eastAsia="黑体" w:hAnsiTheme="majorEastAsia"/>
          <w:color w:val="000000" w:themeColor="text1"/>
          <w:sz w:val="36"/>
          <w:szCs w:val="32"/>
          <w14:textFill>
            <w14:solidFill>
              <w14:schemeClr w14:val="tx1"/>
            </w14:solidFill>
          </w14:textFill>
        </w:rPr>
      </w:pPr>
      <w:r>
        <w:rPr>
          <w:rFonts w:hint="eastAsia" w:ascii="黑体" w:eastAsia="黑体" w:hAnsiTheme="majorEastAsia"/>
          <w:color w:val="000000" w:themeColor="text1"/>
          <w:sz w:val="36"/>
          <w:szCs w:val="32"/>
          <w14:textFill>
            <w14:solidFill>
              <w14:schemeClr w14:val="tx1"/>
            </w14:solidFill>
          </w14:textFill>
        </w:rPr>
        <w:t>目  录</w:t>
      </w:r>
    </w:p>
    <w:p>
      <w:pPr>
        <w:spacing w:before="312" w:beforeLines="100"/>
        <w:jc w:val="left"/>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第一部分  邓州市农业农村局概况</w:t>
      </w:r>
    </w:p>
    <w:p>
      <w:pPr>
        <w:pStyle w:val="9"/>
        <w:numPr>
          <w:ilvl w:val="0"/>
          <w:numId w:val="1"/>
        </w:numPr>
        <w:jc w:val="left"/>
        <w:rPr>
          <w:rFonts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主要职责</w:t>
      </w:r>
    </w:p>
    <w:p>
      <w:pPr>
        <w:pStyle w:val="9"/>
        <w:numPr>
          <w:ilvl w:val="0"/>
          <w:numId w:val="1"/>
        </w:numPr>
        <w:jc w:val="left"/>
        <w:rPr>
          <w:rFonts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预算单位构成情况</w:t>
      </w:r>
    </w:p>
    <w:p>
      <w:pPr>
        <w:jc w:val="left"/>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第二部分 邓州市农业农村局2021年单位预算情况说明</w:t>
      </w:r>
    </w:p>
    <w:p>
      <w:pPr>
        <w:jc w:val="left"/>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第三部分 名词解释</w:t>
      </w:r>
    </w:p>
    <w:p>
      <w:pPr>
        <w:rPr>
          <w:rFonts w:ascii="仿宋_GB2312" w:eastAsia="仿宋_GB2312"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附件</w:t>
      </w:r>
      <w:r>
        <w:rPr>
          <w:rFonts w:hint="eastAsia" w:ascii="仿宋_GB2312" w:eastAsia="仿宋_GB2312" w:hAnsiTheme="majorEastAsia"/>
          <w:color w:val="000000" w:themeColor="text1"/>
          <w:sz w:val="32"/>
          <w:szCs w:val="32"/>
          <w14:textFill>
            <w14:solidFill>
              <w14:schemeClr w14:val="tx1"/>
            </w14:solidFill>
          </w14:textFill>
        </w:rPr>
        <w:t>：2021年度单位预算表</w:t>
      </w:r>
    </w:p>
    <w:p>
      <w:pPr>
        <w:snapToGrid w:val="0"/>
        <w:spacing w:line="360" w:lineRule="auto"/>
        <w:ind w:firstLine="372" w:firstLineChars="133"/>
        <w:rPr>
          <w:rFonts w:ascii="仿宋_GB2312" w:eastAsia="仿宋_GB2312" w:hAnsiTheme="majorEastAsia"/>
          <w:color w:val="000000" w:themeColor="text1"/>
          <w:sz w:val="28"/>
          <w:szCs w:val="28"/>
          <w14:textFill>
            <w14:solidFill>
              <w14:schemeClr w14:val="tx1"/>
            </w14:solidFill>
          </w14:textFill>
        </w:rPr>
      </w:pPr>
      <w:r>
        <w:rPr>
          <w:rFonts w:hint="eastAsia" w:ascii="仿宋_GB2312" w:eastAsia="仿宋_GB2312" w:hAnsiTheme="majorEastAsia"/>
          <w:color w:val="000000" w:themeColor="text1"/>
          <w:sz w:val="28"/>
          <w:szCs w:val="28"/>
          <w14:textFill>
            <w14:solidFill>
              <w14:schemeClr w14:val="tx1"/>
            </w14:solidFill>
          </w14:textFill>
        </w:rPr>
        <w:t>一、单位收支预算表</w:t>
      </w:r>
    </w:p>
    <w:p>
      <w:pPr>
        <w:snapToGrid w:val="0"/>
        <w:spacing w:line="360" w:lineRule="auto"/>
        <w:ind w:firstLine="372" w:firstLineChars="133"/>
        <w:rPr>
          <w:rFonts w:ascii="仿宋_GB2312" w:eastAsia="仿宋_GB2312" w:hAnsiTheme="majorEastAsia"/>
          <w:color w:val="000000" w:themeColor="text1"/>
          <w:sz w:val="28"/>
          <w:szCs w:val="28"/>
          <w14:textFill>
            <w14:solidFill>
              <w14:schemeClr w14:val="tx1"/>
            </w14:solidFill>
          </w14:textFill>
        </w:rPr>
      </w:pPr>
      <w:r>
        <w:rPr>
          <w:rFonts w:hint="eastAsia" w:ascii="仿宋_GB2312" w:eastAsia="仿宋_GB2312" w:hAnsiTheme="majorEastAsia"/>
          <w:color w:val="000000" w:themeColor="text1"/>
          <w:sz w:val="28"/>
          <w:szCs w:val="28"/>
          <w14:textFill>
            <w14:solidFill>
              <w14:schemeClr w14:val="tx1"/>
            </w14:solidFill>
          </w14:textFill>
        </w:rPr>
        <w:t>二、单位收入预算表</w:t>
      </w:r>
    </w:p>
    <w:p>
      <w:pPr>
        <w:snapToGrid w:val="0"/>
        <w:spacing w:line="360" w:lineRule="auto"/>
        <w:ind w:firstLine="372" w:firstLineChars="133"/>
        <w:rPr>
          <w:rFonts w:ascii="仿宋_GB2312" w:eastAsia="仿宋_GB2312" w:hAnsiTheme="majorEastAsia"/>
          <w:color w:val="000000" w:themeColor="text1"/>
          <w:sz w:val="28"/>
          <w:szCs w:val="28"/>
          <w14:textFill>
            <w14:solidFill>
              <w14:schemeClr w14:val="tx1"/>
            </w14:solidFill>
          </w14:textFill>
        </w:rPr>
      </w:pPr>
      <w:r>
        <w:rPr>
          <w:rFonts w:hint="eastAsia" w:ascii="仿宋_GB2312" w:eastAsia="仿宋_GB2312" w:hAnsiTheme="majorEastAsia"/>
          <w:color w:val="000000" w:themeColor="text1"/>
          <w:sz w:val="28"/>
          <w:szCs w:val="28"/>
          <w14:textFill>
            <w14:solidFill>
              <w14:schemeClr w14:val="tx1"/>
            </w14:solidFill>
          </w14:textFill>
        </w:rPr>
        <w:t>三、单位支出预算表</w:t>
      </w:r>
    </w:p>
    <w:p>
      <w:pPr>
        <w:snapToGrid w:val="0"/>
        <w:spacing w:line="360" w:lineRule="auto"/>
        <w:ind w:firstLine="372" w:firstLineChars="133"/>
        <w:rPr>
          <w:rFonts w:ascii="仿宋_GB2312" w:eastAsia="仿宋_GB2312" w:hAnsiTheme="majorEastAsia"/>
          <w:color w:val="000000" w:themeColor="text1"/>
          <w:sz w:val="28"/>
          <w:szCs w:val="28"/>
          <w14:textFill>
            <w14:solidFill>
              <w14:schemeClr w14:val="tx1"/>
            </w14:solidFill>
          </w14:textFill>
        </w:rPr>
      </w:pPr>
      <w:r>
        <w:rPr>
          <w:rFonts w:hint="eastAsia" w:ascii="仿宋_GB2312" w:eastAsia="仿宋_GB2312" w:hAnsiTheme="majorEastAsia"/>
          <w:color w:val="000000" w:themeColor="text1"/>
          <w:sz w:val="28"/>
          <w:szCs w:val="28"/>
          <w14:textFill>
            <w14:solidFill>
              <w14:schemeClr w14:val="tx1"/>
            </w14:solidFill>
          </w14:textFill>
        </w:rPr>
        <w:t>四、财政拨款收支预算表</w:t>
      </w:r>
    </w:p>
    <w:p>
      <w:pPr>
        <w:snapToGrid w:val="0"/>
        <w:spacing w:line="360" w:lineRule="auto"/>
        <w:ind w:firstLine="372" w:firstLineChars="133"/>
        <w:rPr>
          <w:rFonts w:ascii="仿宋_GB2312" w:eastAsia="仿宋_GB2312" w:hAnsiTheme="majorEastAsia"/>
          <w:color w:val="000000" w:themeColor="text1"/>
          <w:sz w:val="28"/>
          <w:szCs w:val="28"/>
          <w14:textFill>
            <w14:solidFill>
              <w14:schemeClr w14:val="tx1"/>
            </w14:solidFill>
          </w14:textFill>
        </w:rPr>
      </w:pPr>
      <w:r>
        <w:rPr>
          <w:rFonts w:hint="eastAsia" w:ascii="仿宋_GB2312" w:eastAsia="仿宋_GB2312" w:hAnsiTheme="majorEastAsia"/>
          <w:color w:val="000000" w:themeColor="text1"/>
          <w:sz w:val="28"/>
          <w:szCs w:val="28"/>
          <w14:textFill>
            <w14:solidFill>
              <w14:schemeClr w14:val="tx1"/>
            </w14:solidFill>
          </w14:textFill>
        </w:rPr>
        <w:t>五、一般公共预算支出预算表</w:t>
      </w:r>
    </w:p>
    <w:p>
      <w:pPr>
        <w:snapToGrid w:val="0"/>
        <w:spacing w:line="360" w:lineRule="auto"/>
        <w:ind w:firstLine="372" w:firstLineChars="133"/>
        <w:rPr>
          <w:rFonts w:ascii="仿宋_GB2312" w:eastAsia="仿宋_GB2312" w:hAnsiTheme="majorEastAsia"/>
          <w:color w:val="000000" w:themeColor="text1"/>
          <w:sz w:val="28"/>
          <w:szCs w:val="28"/>
          <w14:textFill>
            <w14:solidFill>
              <w14:schemeClr w14:val="tx1"/>
            </w14:solidFill>
          </w14:textFill>
        </w:rPr>
      </w:pPr>
      <w:r>
        <w:rPr>
          <w:rFonts w:hint="eastAsia" w:ascii="仿宋_GB2312" w:eastAsia="仿宋_GB2312" w:hAnsiTheme="majorEastAsia"/>
          <w:color w:val="000000" w:themeColor="text1"/>
          <w:sz w:val="28"/>
          <w:szCs w:val="28"/>
          <w14:textFill>
            <w14:solidFill>
              <w14:schemeClr w14:val="tx1"/>
            </w14:solidFill>
          </w14:textFill>
        </w:rPr>
        <w:t>六、一般公共预算基本支出预算表</w:t>
      </w:r>
    </w:p>
    <w:p>
      <w:pPr>
        <w:snapToGrid w:val="0"/>
        <w:spacing w:line="360" w:lineRule="auto"/>
        <w:ind w:firstLine="372" w:firstLineChars="133"/>
        <w:rPr>
          <w:rFonts w:ascii="仿宋_GB2312" w:eastAsia="仿宋_GB2312" w:hAnsiTheme="majorEastAsia"/>
          <w:color w:val="000000" w:themeColor="text1"/>
          <w:sz w:val="28"/>
          <w:szCs w:val="28"/>
          <w14:textFill>
            <w14:solidFill>
              <w14:schemeClr w14:val="tx1"/>
            </w14:solidFill>
          </w14:textFill>
        </w:rPr>
      </w:pPr>
      <w:r>
        <w:rPr>
          <w:rFonts w:hint="eastAsia" w:ascii="仿宋_GB2312" w:eastAsia="仿宋_GB2312" w:hAnsiTheme="majorEastAsia"/>
          <w:color w:val="000000" w:themeColor="text1"/>
          <w:sz w:val="28"/>
          <w:szCs w:val="28"/>
          <w14:textFill>
            <w14:solidFill>
              <w14:schemeClr w14:val="tx1"/>
            </w14:solidFill>
          </w14:textFill>
        </w:rPr>
        <w:t>七、一般公共预算“三公”经费预算表</w:t>
      </w:r>
    </w:p>
    <w:p>
      <w:pPr>
        <w:snapToGrid w:val="0"/>
        <w:spacing w:line="360" w:lineRule="auto"/>
        <w:ind w:firstLine="372" w:firstLineChars="133"/>
        <w:rPr>
          <w:rFonts w:ascii="仿宋_GB2312" w:eastAsia="仿宋_GB2312" w:hAnsiTheme="majorEastAsia"/>
          <w:color w:val="000000" w:themeColor="text1"/>
          <w:sz w:val="28"/>
          <w:szCs w:val="28"/>
          <w14:textFill>
            <w14:solidFill>
              <w14:schemeClr w14:val="tx1"/>
            </w14:solidFill>
          </w14:textFill>
        </w:rPr>
      </w:pPr>
      <w:r>
        <w:rPr>
          <w:rFonts w:hint="eastAsia" w:ascii="仿宋_GB2312" w:eastAsia="仿宋_GB2312" w:hAnsiTheme="majorEastAsia"/>
          <w:color w:val="000000" w:themeColor="text1"/>
          <w:sz w:val="28"/>
          <w:szCs w:val="28"/>
          <w14:textFill>
            <w14:solidFill>
              <w14:schemeClr w14:val="tx1"/>
            </w14:solidFill>
          </w14:textFill>
        </w:rPr>
        <w:t>八、政府性基金支出预算表</w:t>
      </w:r>
    </w:p>
    <w:p>
      <w:pPr>
        <w:snapToGrid w:val="0"/>
        <w:spacing w:line="360" w:lineRule="auto"/>
        <w:ind w:firstLine="372" w:firstLineChars="133"/>
        <w:rPr>
          <w:rFonts w:ascii="仿宋_GB2312" w:eastAsia="仿宋_GB2312" w:hAnsiTheme="majorEastAsia"/>
          <w:color w:val="000000" w:themeColor="text1"/>
          <w:sz w:val="28"/>
          <w:szCs w:val="28"/>
          <w14:textFill>
            <w14:solidFill>
              <w14:schemeClr w14:val="tx1"/>
            </w14:solidFill>
          </w14:textFill>
        </w:rPr>
      </w:pPr>
      <w:r>
        <w:rPr>
          <w:rFonts w:hint="eastAsia" w:ascii="仿宋_GB2312" w:eastAsia="仿宋_GB2312" w:hAnsiTheme="majorEastAsia"/>
          <w:color w:val="000000" w:themeColor="text1"/>
          <w:sz w:val="28"/>
          <w:szCs w:val="28"/>
          <w14:textFill>
            <w14:solidFill>
              <w14:schemeClr w14:val="tx1"/>
            </w14:solidFill>
          </w14:textFill>
        </w:rPr>
        <w:t>九、支出经济分类汇总表</w:t>
      </w:r>
    </w:p>
    <w:p>
      <w:pPr>
        <w:ind w:firstLine="427" w:firstLineChars="133"/>
        <w:rPr>
          <w:rFonts w:ascii="仿宋_GB2312" w:eastAsia="仿宋_GB2312" w:hAnsiTheme="majorEastAsia"/>
          <w:b/>
          <w:color w:val="000000" w:themeColor="text1"/>
          <w:sz w:val="32"/>
          <w:szCs w:val="32"/>
          <w14:textFill>
            <w14:solidFill>
              <w14:schemeClr w14:val="tx1"/>
            </w14:solidFill>
          </w14:textFill>
        </w:rPr>
      </w:pPr>
      <w:r>
        <w:rPr>
          <w:rFonts w:ascii="仿宋_GB2312" w:eastAsia="仿宋_GB2312" w:hAnsiTheme="majorEastAsia"/>
          <w:b/>
          <w:color w:val="000000" w:themeColor="text1"/>
          <w:sz w:val="32"/>
          <w:szCs w:val="32"/>
          <w14:textFill>
            <w14:solidFill>
              <w14:schemeClr w14:val="tx1"/>
            </w14:solidFill>
          </w14:textFill>
        </w:rPr>
        <w:br w:type="page"/>
      </w: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第一部分</w:t>
      </w: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邓州市农业农村局概况</w:t>
      </w:r>
    </w:p>
    <w:p>
      <w:pPr>
        <w:rPr>
          <w:rFonts w:ascii="仿宋_GB2312" w:eastAsia="仿宋_GB2312"/>
          <w:b/>
          <w:color w:val="000000" w:themeColor="text1"/>
          <w:sz w:val="32"/>
          <w:szCs w:val="32"/>
          <w14:textFill>
            <w14:solidFill>
              <w14:schemeClr w14:val="tx1"/>
            </w14:solidFill>
          </w14:textFill>
        </w:rPr>
      </w:pPr>
    </w:p>
    <w:p>
      <w:pPr>
        <w:ind w:firstLine="566" w:firstLineChars="177"/>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一、主要职责</w:t>
      </w:r>
    </w:p>
    <w:p>
      <w:pPr>
        <w:ind w:firstLine="566" w:firstLineChars="17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贯彻落实农业农村有关法律、法规、规章和政策，指导农业综合执法。统筹研究和组织实施全市“三农”工作的发展规划、措施。参与涉农的金融保险等政策制定。统筹推动全市发展农村社会事业、农村公共服务、农村文化、农村基础设施和乡村治理。拟定全市深化农村经济体制改革和巩固完善农村基本经营制度的政策性措施。指导开展乡村特色产业、农产品加工业、休闲农业、乡镇企业、农业产业化等工作。负责全市种植业、畜牧业、渔业、农垦、农业机械化等农业各产业的监督管理。负责全市农产品质量安全监督管理。组织全市农业资源区划工作。指导全市农产品产地环境管理和农业清洁生产，指导设施农业、生态循环农业、节水农业发展以及农村可再生能源综合开发利用、农业生物质产业发展。负责全市有关农业生产资料和农业投入品的监督管理。负责全市农业防灾减灾、农作物重大病虫害防治工作。负责全市农业投资管理。推动全市农业科技体制改革和农业科技创新体系建设。指导全市农业农村人才工作。牵头开展全市农业对外合作工作。完成市委、市政府和市委农村工作领导小组交办的其他任务。</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二、单位预算单位构成情况</w:t>
      </w:r>
    </w:p>
    <w:p>
      <w:pPr>
        <w:ind w:firstLine="566" w:firstLineChars="17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邓州市农业农村局单位预算包括办公室、行政审批服务科（法规科）、政策与改革科（发展规划科）、计划财务科、乡村产业发展科、农村社会事业促进科（农村人居环境指导科）、农村合作经济与集体经济指导科（邓州市农民负担监督管理委员会办公室）、市场与信息化科（科技教育科）、农产品质量安全监管科、粮食与经济作物科、畜牧科（奶业管理科）、兽医科（市政府重大动物疫情应急指挥部办公室）、饲料兽药科、畜禽屠宰管理科、资源利用科、渔政管理科（水产科）、种业农药管理科、农业机械化管理科、农田建设管理科和人事科的预算。</w:t>
      </w:r>
    </w:p>
    <w:p>
      <w:pPr>
        <w:jc w:val="center"/>
        <w:rPr>
          <w:rFonts w:ascii="黑体" w:eastAsia="黑体" w:hAnsiTheme="majorEastAsia"/>
          <w:color w:val="000000" w:themeColor="text1"/>
          <w:sz w:val="32"/>
          <w:szCs w:val="32"/>
          <w14:textFill>
            <w14:solidFill>
              <w14:schemeClr w14:val="tx1"/>
            </w14:solidFill>
          </w14:textFill>
        </w:rPr>
      </w:pPr>
    </w:p>
    <w:p>
      <w:pPr>
        <w:jc w:val="center"/>
        <w:rPr>
          <w:rFonts w:ascii="黑体" w:eastAsia="黑体" w:hAnsiTheme="majorEastAsia"/>
          <w:color w:val="000000" w:themeColor="text1"/>
          <w:sz w:val="32"/>
          <w:szCs w:val="32"/>
          <w14:textFill>
            <w14:solidFill>
              <w14:schemeClr w14:val="tx1"/>
            </w14:solidFill>
          </w14:textFill>
        </w:rPr>
      </w:pPr>
    </w:p>
    <w:p>
      <w:pPr>
        <w:jc w:val="center"/>
        <w:rPr>
          <w:rFonts w:ascii="黑体" w:eastAsia="黑体" w:hAnsiTheme="majorEastAsia"/>
          <w:color w:val="000000" w:themeColor="text1"/>
          <w:sz w:val="32"/>
          <w:szCs w:val="32"/>
          <w14:textFill>
            <w14:solidFill>
              <w14:schemeClr w14:val="tx1"/>
            </w14:solidFill>
          </w14:textFill>
        </w:rPr>
      </w:pPr>
    </w:p>
    <w:p>
      <w:pPr>
        <w:jc w:val="center"/>
        <w:rPr>
          <w:rFonts w:ascii="黑体" w:eastAsia="黑体" w:hAnsiTheme="majorEastAsia"/>
          <w:color w:val="000000" w:themeColor="text1"/>
          <w:sz w:val="32"/>
          <w:szCs w:val="32"/>
          <w14:textFill>
            <w14:solidFill>
              <w14:schemeClr w14:val="tx1"/>
            </w14:solidFill>
          </w14:textFill>
        </w:rPr>
      </w:pPr>
    </w:p>
    <w:p>
      <w:pPr>
        <w:jc w:val="center"/>
        <w:rPr>
          <w:rFonts w:ascii="黑体" w:eastAsia="黑体" w:hAnsiTheme="majorEastAsia"/>
          <w:color w:val="000000" w:themeColor="text1"/>
          <w:sz w:val="32"/>
          <w:szCs w:val="32"/>
          <w14:textFill>
            <w14:solidFill>
              <w14:schemeClr w14:val="tx1"/>
            </w14:solidFill>
          </w14:textFill>
        </w:rPr>
      </w:pP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第二部分</w:t>
      </w: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邓州市农业农村局2021年单位预算情况说明</w:t>
      </w:r>
    </w:p>
    <w:p>
      <w:pPr>
        <w:spacing w:before="312" w:beforeLines="100"/>
        <w:ind w:firstLine="709"/>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一、收入支出预算总体情况说明</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2021年收入总计35460.59万元，支出总计35460.59万元，与2020年相比，收入、支出各增加4557.73万元。主要原因是：转移支付提前下达转移支付资金增多</w:t>
      </w:r>
      <w:r>
        <w:rPr>
          <w:rFonts w:hint="eastAsia"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ind w:firstLine="567"/>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二、收入预算总体情况说明</w:t>
      </w:r>
    </w:p>
    <w:p>
      <w:pPr>
        <w:ind w:firstLine="707" w:firstLineChars="221"/>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2021年收入预算35460.59万元，其中：</w:t>
      </w:r>
      <w:r>
        <w:rPr>
          <w:rFonts w:hint="eastAsia" w:eastAsia="仿宋_GB2312"/>
          <w:color w:val="000000" w:themeColor="text1"/>
          <w:sz w:val="32"/>
          <w:szCs w:val="32"/>
          <w14:textFill>
            <w14:solidFill>
              <w14:schemeClr w14:val="tx1"/>
            </w14:solidFill>
          </w14:textFill>
        </w:rPr>
        <w:t>一般公共预算收入</w:t>
      </w:r>
      <w:r>
        <w:rPr>
          <w:rFonts w:hint="eastAsia" w:ascii="仿宋_GB2312" w:eastAsia="仿宋_GB2312"/>
          <w:color w:val="000000" w:themeColor="text1"/>
          <w:sz w:val="32"/>
          <w:szCs w:val="32"/>
          <w14:textFill>
            <w14:solidFill>
              <w14:schemeClr w14:val="tx1"/>
            </w14:solidFill>
          </w14:textFill>
        </w:rPr>
        <w:t>35460.59万元，政府性基金收入0万元，国有资本经营预算收入0万元，财政专户管理资金收入0万元</w:t>
      </w:r>
      <w:r>
        <w:rPr>
          <w:rFonts w:hint="eastAsia" w:eastAsia="仿宋_GB2312"/>
          <w:color w:val="000000" w:themeColor="text1"/>
          <w:sz w:val="32"/>
          <w:szCs w:val="32"/>
          <w14:textFill>
            <w14:solidFill>
              <w14:schemeClr w14:val="tx1"/>
            </w14:solidFill>
          </w14:textFill>
        </w:rPr>
        <w:t>。</w:t>
      </w:r>
    </w:p>
    <w:p>
      <w:pPr>
        <w:ind w:firstLine="709"/>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三、支出预算总体情况说明</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2021年支出预算35460.59万元，其中：基本支出655.91万元，占年度计划的1.85%；项目支出34804.68万元，占年度计划的98.15%。 </w:t>
      </w:r>
    </w:p>
    <w:p>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四、财政拨款收支预算总体情况说明</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2021年一般公共预算收支预算35460.59万元，政府性基金收支预算0万元，国有资本经营收支预算0万元，与2020年相比，收入支出增加4557.73万元。主要原因是：转移支付提前下达项目资金增加</w:t>
      </w:r>
      <w:r>
        <w:rPr>
          <w:rFonts w:hint="eastAsia" w:eastAsia="仿宋_GB2312"/>
          <w:color w:val="000000" w:themeColor="text1"/>
          <w:sz w:val="32"/>
          <w:szCs w:val="32"/>
          <w14:textFill>
            <w14:solidFill>
              <w14:schemeClr w14:val="tx1"/>
            </w14:solidFill>
          </w14:textFill>
        </w:rPr>
        <w:t>。</w:t>
      </w:r>
    </w:p>
    <w:p>
      <w:pPr>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五、一般公共预算支出预算情况说明</w:t>
      </w:r>
    </w:p>
    <w:p>
      <w:pPr>
        <w:ind w:firstLine="709"/>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2021</w:t>
      </w:r>
      <w:r>
        <w:rPr>
          <w:rFonts w:ascii="Times New Roman" w:hAnsi="Times New Roman" w:eastAsia="仿宋_GB2312" w:cs="Times New Roman"/>
          <w:color w:val="000000" w:themeColor="text1"/>
          <w:sz w:val="32"/>
          <w:szCs w:val="32"/>
          <w14:textFill>
            <w14:solidFill>
              <w14:schemeClr w14:val="tx1"/>
            </w14:solidFill>
          </w14:textFill>
        </w:rPr>
        <w:t>年一般公共预算支出年初预算为</w:t>
      </w:r>
      <w:r>
        <w:rPr>
          <w:rFonts w:hint="eastAsia" w:ascii="仿宋_GB2312" w:eastAsia="仿宋_GB2312"/>
          <w:color w:val="000000" w:themeColor="text1"/>
          <w:sz w:val="32"/>
          <w:szCs w:val="32"/>
          <w14:textFill>
            <w14:solidFill>
              <w14:schemeClr w14:val="tx1"/>
            </w14:solidFill>
          </w14:textFill>
        </w:rPr>
        <w:t>904.59</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其中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基本支出655.91万元，占72.51%；项目支出</w:t>
      </w:r>
      <w:r>
        <w:rPr>
          <w:rFonts w:hint="eastAsia" w:ascii="仿宋_GB2312" w:eastAsia="仿宋_GB2312"/>
          <w:color w:val="000000" w:themeColor="text1"/>
          <w:sz w:val="32"/>
          <w:szCs w:val="32"/>
          <w14:textFill>
            <w14:solidFill>
              <w14:schemeClr w14:val="tx1"/>
            </w14:solidFill>
          </w14:textFill>
        </w:rPr>
        <w:t>248.68</w:t>
      </w:r>
      <w:r>
        <w:rPr>
          <w:rFonts w:hint="eastAsia" w:ascii="Times New Roman" w:hAnsi="Times New Roman" w:eastAsia="仿宋_GB2312" w:cs="Times New Roman"/>
          <w:color w:val="000000" w:themeColor="text1"/>
          <w:sz w:val="32"/>
          <w:szCs w:val="32"/>
          <w14:textFill>
            <w14:solidFill>
              <w14:schemeClr w14:val="tx1"/>
            </w14:solidFill>
          </w14:textFill>
        </w:rPr>
        <w:t>万元，占27.49%。</w:t>
      </w:r>
    </w:p>
    <w:p>
      <w:pPr>
        <w:ind w:firstLine="709"/>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六、一般公共预算基本支出预算情况说明</w:t>
      </w:r>
    </w:p>
    <w:p>
      <w:pPr>
        <w:ind w:firstLine="709"/>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2021</w:t>
      </w:r>
      <w:r>
        <w:rPr>
          <w:rFonts w:ascii="Times New Roman" w:hAnsi="Times New Roman" w:eastAsia="仿宋_GB2312" w:cs="Times New Roman"/>
          <w:color w:val="000000" w:themeColor="text1"/>
          <w:sz w:val="32"/>
          <w:szCs w:val="32"/>
          <w14:textFill>
            <w14:solidFill>
              <w14:schemeClr w14:val="tx1"/>
            </w14:solidFill>
          </w14:textFill>
        </w:rPr>
        <w:t>年一般公共预算</w:t>
      </w:r>
      <w:r>
        <w:rPr>
          <w:rFonts w:hint="eastAsia" w:ascii="Times New Roman" w:hAnsi="Times New Roman" w:eastAsia="仿宋_GB2312" w:cs="Times New Roman"/>
          <w:color w:val="000000" w:themeColor="text1"/>
          <w:sz w:val="32"/>
          <w:szCs w:val="32"/>
          <w14:textFill>
            <w14:solidFill>
              <w14:schemeClr w14:val="tx1"/>
            </w14:solidFill>
          </w14:textFill>
        </w:rPr>
        <w:t>基本支出</w:t>
      </w:r>
      <w:r>
        <w:rPr>
          <w:rFonts w:ascii="Times New Roman" w:hAnsi="Times New Roman" w:eastAsia="仿宋_GB2312" w:cs="Times New Roman"/>
          <w:color w:val="000000" w:themeColor="text1"/>
          <w:sz w:val="32"/>
          <w:szCs w:val="32"/>
          <w14:textFill>
            <w14:solidFill>
              <w14:schemeClr w14:val="tx1"/>
            </w14:solidFill>
          </w14:textFill>
        </w:rPr>
        <w:t>年初预算为</w:t>
      </w:r>
      <w:r>
        <w:rPr>
          <w:rFonts w:hint="eastAsia" w:ascii="Times New Roman" w:hAnsi="Times New Roman" w:eastAsia="仿宋_GB2312" w:cs="Times New Roman"/>
          <w:color w:val="000000" w:themeColor="text1"/>
          <w:sz w:val="32"/>
          <w:szCs w:val="32"/>
          <w14:textFill>
            <w14:solidFill>
              <w14:schemeClr w14:val="tx1"/>
            </w14:solidFill>
          </w14:textFill>
        </w:rPr>
        <w:t>655.91</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其中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人员经费支出603.74万元，占92.05%；公用经费支出52.17万元，占7.95%。</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七、支出预算经济分类情况说明</w:t>
      </w:r>
    </w:p>
    <w:p>
      <w:pPr>
        <w:ind w:left="319" w:leftChars="152"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 按两套经济分类科目分别反映不同资金来源的全部预算支出。</w:t>
      </w:r>
    </w:p>
    <w:p>
      <w:pPr>
        <w:ind w:firstLine="960" w:firstLineChars="3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八、一般公共预算“三公”经费支出预算情况说明</w:t>
      </w:r>
    </w:p>
    <w:p>
      <w:pPr>
        <w:ind w:left="319" w:leftChars="152"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2021年“三公”经费预算为23.65万元。</w:t>
      </w:r>
      <w:r>
        <w:rPr>
          <w:rFonts w:hint="eastAsia" w:ascii="仿宋_GB2312" w:eastAsia="仿宋_GB2312"/>
          <w:sz w:val="32"/>
          <w:szCs w:val="32"/>
        </w:rPr>
        <w:t>比2020年增加0.45万元。</w:t>
      </w:r>
    </w:p>
    <w:p>
      <w:pPr>
        <w:kinsoku w:val="0"/>
        <w:overflowPunct w:val="0"/>
        <w:autoSpaceDE w:val="0"/>
        <w:autoSpaceDN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因公出国（境）费0万元</w:t>
      </w:r>
      <w:r>
        <w:rPr>
          <w:rFonts w:hint="eastAsia" w:ascii="仿宋_GB2312" w:eastAsia="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bidi="ar"/>
          <w14:textFill>
            <w14:solidFill>
              <w14:schemeClr w14:val="tx1"/>
            </w14:solidFill>
          </w14:textFill>
        </w:rPr>
        <w:t>主要用于单位工作人员公务出国（境）的住宿费、旅费、伙食补助费、杂费、培训费等支出。预算数比</w:t>
      </w:r>
      <w:r>
        <w:rPr>
          <w:rFonts w:ascii="Times New Roman" w:hAnsi="Times New Roman" w:eastAsia="仿宋_GB2312" w:cs="Times New Roman"/>
          <w:color w:val="000000" w:themeColor="text1"/>
          <w:sz w:val="32"/>
          <w:szCs w:val="32"/>
          <w:lang w:bidi="ar"/>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bidi="ar"/>
          <w14:textFill>
            <w14:solidFill>
              <w14:schemeClr w14:val="tx1"/>
            </w14:solidFill>
          </w14:textFill>
        </w:rPr>
        <w:t>2020</w:t>
      </w:r>
      <w:r>
        <w:rPr>
          <w:rFonts w:hint="eastAsia" w:ascii="Times New Roman" w:hAnsi="Times New Roman" w:eastAsia="仿宋_GB2312" w:cs="仿宋_GB2312"/>
          <w:color w:val="000000" w:themeColor="text1"/>
          <w:sz w:val="32"/>
          <w:szCs w:val="32"/>
          <w:lang w:bidi="ar"/>
          <w14:textFill>
            <w14:solidFill>
              <w14:schemeClr w14:val="tx1"/>
            </w14:solidFill>
          </w14:textFill>
        </w:rPr>
        <w:t>年保持一致。</w:t>
      </w:r>
    </w:p>
    <w:p>
      <w:pPr>
        <w:ind w:left="19" w:leftChars="9" w:firstLine="623" w:firstLineChars="194"/>
        <w:rPr>
          <w:rFonts w:ascii="Times New Roman" w:hAnsi="Times New Roman" w:eastAsia="仿宋_GB2312" w:cs="Times New Roman"/>
          <w:color w:val="000000" w:themeColor="text1"/>
          <w:sz w:val="32"/>
          <w:szCs w:val="32"/>
          <w:lang w:bidi="ar"/>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公务用车购置费及维护费10万元</w:t>
      </w:r>
      <w:r>
        <w:rPr>
          <w:rFonts w:hint="eastAsia" w:ascii="仿宋_GB2312" w:eastAsia="仿宋_GB2312"/>
          <w:color w:val="000000" w:themeColor="text1"/>
          <w:sz w:val="32"/>
          <w:szCs w:val="32"/>
          <w14:textFill>
            <w14:solidFill>
              <w14:schemeClr w14:val="tx1"/>
            </w14:solidFill>
          </w14:textFill>
        </w:rPr>
        <w:t>，其中，</w:t>
      </w:r>
      <w:r>
        <w:rPr>
          <w:rFonts w:hint="eastAsia" w:ascii="Times New Roman" w:hAnsi="Times New Roman" w:eastAsia="仿宋_GB2312" w:cs="Times New Roman"/>
          <w:color w:val="000000" w:themeColor="text1"/>
          <w:sz w:val="32"/>
          <w:szCs w:val="32"/>
          <w:lang w:bidi="ar"/>
          <w14:textFill>
            <w14:solidFill>
              <w14:schemeClr w14:val="tx1"/>
            </w14:solidFill>
          </w14:textFill>
        </w:rPr>
        <w:t>公务用车购置费0万元；</w:t>
      </w:r>
      <w:r>
        <w:rPr>
          <w:rFonts w:hint="eastAsia" w:ascii="仿宋_GB2312" w:eastAsia="仿宋_GB2312"/>
          <w:color w:val="000000" w:themeColor="text1"/>
          <w:sz w:val="32"/>
          <w:szCs w:val="32"/>
          <w14:textFill>
            <w14:solidFill>
              <w14:schemeClr w14:val="tx1"/>
            </w14:solidFill>
          </w14:textFill>
        </w:rPr>
        <w:t>公务用车维护费10万元。</w:t>
      </w:r>
      <w:r>
        <w:rPr>
          <w:rFonts w:hint="eastAsia" w:ascii="Times New Roman" w:hAnsi="Times New Roman" w:eastAsia="仿宋_GB2312" w:cs="Times New Roman"/>
          <w:color w:val="000000" w:themeColor="text1"/>
          <w:sz w:val="32"/>
          <w:szCs w:val="32"/>
          <w:lang w:bidi="ar"/>
          <w14:textFill>
            <w14:solidFill>
              <w14:schemeClr w14:val="tx1"/>
            </w14:solidFill>
          </w14:textFill>
        </w:rPr>
        <w:t>主要用于开展工作所需公务用车的燃料费、维修费、过路过桥费、保险费等支出。公务用车购置费预算数与</w:t>
      </w:r>
      <w:r>
        <w:rPr>
          <w:rFonts w:ascii="Times New Roman" w:hAnsi="Times New Roman" w:eastAsia="仿宋_GB2312" w:cs="Times New Roman"/>
          <w:color w:val="000000" w:themeColor="text1"/>
          <w:sz w:val="32"/>
          <w:szCs w:val="32"/>
          <w:lang w:bidi="ar"/>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bidi="ar"/>
          <w14:textFill>
            <w14:solidFill>
              <w14:schemeClr w14:val="tx1"/>
            </w14:solidFill>
          </w14:textFill>
        </w:rPr>
        <w:t>2020年持平，均为</w:t>
      </w:r>
      <w:r>
        <w:rPr>
          <w:rFonts w:ascii="Times New Roman" w:hAnsi="Times New Roman" w:eastAsia="仿宋_GB2312" w:cs="Times New Roman"/>
          <w:color w:val="000000" w:themeColor="text1"/>
          <w:sz w:val="32"/>
          <w:szCs w:val="32"/>
          <w:lang w:bidi="ar"/>
          <w14:textFill>
            <w14:solidFill>
              <w14:schemeClr w14:val="tx1"/>
            </w14:solidFill>
          </w14:textFill>
        </w:rPr>
        <w:t>0</w:t>
      </w:r>
      <w:r>
        <w:rPr>
          <w:rFonts w:hint="eastAsia" w:ascii="Times New Roman" w:hAnsi="Times New Roman" w:eastAsia="仿宋_GB2312" w:cs="Times New Roman"/>
          <w:color w:val="000000" w:themeColor="text1"/>
          <w:sz w:val="32"/>
          <w:szCs w:val="32"/>
          <w:lang w:bidi="ar"/>
          <w14:textFill>
            <w14:solidFill>
              <w14:schemeClr w14:val="tx1"/>
            </w14:solidFill>
          </w14:textFill>
        </w:rPr>
        <w:t>万元。公务用车运行维护费预算数比</w:t>
      </w:r>
      <w:r>
        <w:rPr>
          <w:rFonts w:hint="eastAsia" w:ascii="Times New Roman" w:hAnsi="Times New Roman" w:eastAsia="仿宋_GB2312" w:cs="Times New Roman"/>
          <w:sz w:val="32"/>
          <w:szCs w:val="32"/>
          <w:lang w:bidi="ar"/>
        </w:rPr>
        <w:t>2020年增加1.8万元。</w:t>
      </w:r>
      <w:r>
        <w:rPr>
          <w:rFonts w:hint="eastAsia" w:ascii="Times New Roman" w:hAnsi="Times New Roman" w:eastAsia="仿宋_GB2312" w:cs="Times New Roman"/>
          <w:color w:val="000000" w:themeColor="text1"/>
          <w:sz w:val="32"/>
          <w:szCs w:val="32"/>
          <w:lang w:bidi="ar"/>
          <w14:textFill>
            <w14:solidFill>
              <w14:schemeClr w14:val="tx1"/>
            </w14:solidFill>
          </w14:textFill>
        </w:rPr>
        <w:t>主要原因：机构合并业务增多，用车费用增多。</w:t>
      </w:r>
    </w:p>
    <w:p>
      <w:pPr>
        <w:ind w:left="19" w:leftChars="9" w:firstLine="623" w:firstLineChars="194"/>
        <w:rPr>
          <w:rFonts w:ascii="仿宋_GB2312" w:eastAsia="仿宋_GB2312"/>
          <w:b/>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公务接待费13.65万元</w:t>
      </w:r>
      <w:r>
        <w:rPr>
          <w:rFonts w:hint="eastAsia" w:ascii="仿宋_GB2312"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bidi="ar"/>
          <w14:textFill>
            <w14:solidFill>
              <w14:schemeClr w14:val="tx1"/>
            </w14:solidFill>
          </w14:textFill>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2020年减少1.35万元</w:t>
      </w:r>
      <w:r>
        <w:rPr>
          <w:rFonts w:hint="eastAsia" w:ascii="Times New Roman" w:hAnsi="Times New Roman" w:eastAsia="仿宋_GB2312" w:cs="Times New Roman"/>
          <w:color w:val="000000" w:themeColor="text1"/>
          <w:sz w:val="32"/>
          <w:szCs w:val="32"/>
          <w:lang w:bidi="ar"/>
          <w14:textFill>
            <w14:solidFill>
              <w14:schemeClr w14:val="tx1"/>
            </w14:solidFill>
          </w14:textFill>
        </w:rPr>
        <w:t>。主要原因：厉行节约。</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九、政府性基金预算支出预算情况说明</w:t>
      </w:r>
    </w:p>
    <w:p>
      <w:pPr>
        <w:ind w:firstLine="709"/>
        <w:rPr>
          <w:rFonts w:ascii="黑体" w:eastAsia="黑体"/>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2021年没有使用政府性基金预算拨款安排的支出。</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十、其他重要事项的情况说明</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（一）机关运行经费支出情况说明</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2021年机关运行经费支出预算655.91万元，主要保障机关人员工资发放、机构正常运转及正常履职需要。</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（二）政府采购支出情况</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2021年无政府采购预算安排。</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2021年，我单位拟组织对耕地地力补贴、产油大县等7     个项目进行预算绩效评价，涉及资金34804.68万元。</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2020年期末，我单位共有车辆23辆，其中：一般公务用车8辆、一般执法执勤车辆4辆、特种专业技术用车11辆、其他用车0辆，其他用车主要是离退休干部用车0辆、应急保障车辆0辆。单价50万元以上通用设备0套，单位价值100万元以上专用设备0套。</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（五）专项转移支付情况</w:t>
      </w:r>
    </w:p>
    <w:p>
      <w:pPr>
        <w:ind w:firstLine="640" w:firstLineChars="200"/>
        <w:jc w:val="left"/>
        <w:rPr>
          <w:rFonts w:hint="eastAsia" w:ascii="仿宋_GB2312" w:eastAsia="仿宋_GB2312"/>
          <w:color w:val="000000" w:themeColor="text1"/>
          <w:sz w:val="32"/>
          <w:szCs w:val="32"/>
          <w14:textFill>
            <w14:solidFill>
              <w14:schemeClr w14:val="tx1"/>
            </w14:solidFill>
          </w14:textFill>
        </w:rPr>
      </w:pPr>
      <w:bookmarkStart w:id="0" w:name="_GoBack"/>
      <w:bookmarkEnd w:id="0"/>
      <w:r>
        <w:rPr>
          <w:rFonts w:hint="eastAsia" w:ascii="仿宋_GB2312" w:eastAsia="仿宋_GB2312"/>
          <w:color w:val="000000" w:themeColor="text1"/>
          <w:sz w:val="32"/>
          <w:szCs w:val="32"/>
          <w14:textFill>
            <w14:solidFill>
              <w14:schemeClr w14:val="tx1"/>
            </w14:solidFill>
          </w14:textFill>
        </w:rPr>
        <w:t>我单位负责的专项转移支付项目共有7项，合计34556万元，主要是：病虫害控制项目986万元；农业保险保费补贴项目3852万元；动物指定通道建设项目40万元；生猪调出大县项目1062万元；耕地地力保护项目19033万元；农田建设项目7354万元；产油大县奖励项目2419万元。</w:t>
      </w: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第三部分 名词解释</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一、财政拨款收入：是指市级财政当年拨付的资金。</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二、财政专户管理资金：是指缴入财政专户、实行专项管理的高中以上学费、住宿费、高校委托培训费、函大、电大、夜大及短期培训费等教育收费。</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三、事业收入：是指事业单位开展专业活动及辅助活动所取得的收入，不包括教育收费。</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四、事业单位经营收入：是指事业单位在专业业务活动及其辅助活动之外开展独立核算经营活动取得的收入。</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五、其他收入：是指单位取得的除“财政拨款”、“事业收入”、“事业单位经营收入”等以外的收入。</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七、基本支出：是指为保障机构正常运转、完成日常工作任务所必需的开支，其内容包括人员经费和日常公用经费两部分。</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八、项目支出：是指在基本支出之外，为完成特定的行政工作任务或事业发展目标所发生的支出。</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三公”经费：是指纳入本级财政预算管理，单位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426"/>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一、单位收支预算表</w:t>
      </w:r>
    </w:p>
    <w:p>
      <w:pPr>
        <w:snapToGrid w:val="0"/>
        <w:ind w:firstLine="426"/>
        <w:rPr>
          <w:rFonts w:ascii="仿宋_GB2312" w:eastAsia="仿宋_GB2312"/>
          <w:sz w:val="32"/>
          <w:szCs w:val="32"/>
        </w:rPr>
      </w:pPr>
      <w:r>
        <w:rPr>
          <w:rFonts w:hint="eastAsia" w:ascii="仿宋_GB2312" w:eastAsia="仿宋_GB2312"/>
          <w:sz w:val="32"/>
          <w:szCs w:val="32"/>
        </w:rPr>
        <w:t>二、单位收入预算表</w:t>
      </w:r>
    </w:p>
    <w:p>
      <w:pPr>
        <w:snapToGrid w:val="0"/>
        <w:ind w:firstLine="426"/>
        <w:rPr>
          <w:rFonts w:ascii="仿宋_GB2312" w:eastAsia="仿宋_GB2312"/>
          <w:sz w:val="32"/>
          <w:szCs w:val="32"/>
        </w:rPr>
      </w:pPr>
      <w:r>
        <w:rPr>
          <w:rFonts w:hint="eastAsia" w:ascii="仿宋_GB2312" w:eastAsia="仿宋_GB2312"/>
          <w:sz w:val="32"/>
          <w:szCs w:val="32"/>
        </w:rPr>
        <w:t>三、单位支出预算表</w:t>
      </w:r>
    </w:p>
    <w:p>
      <w:pPr>
        <w:snapToGrid w:val="0"/>
        <w:ind w:firstLine="426"/>
        <w:rPr>
          <w:rFonts w:ascii="仿宋_GB2312" w:eastAsia="仿宋_GB2312"/>
          <w:sz w:val="32"/>
          <w:szCs w:val="32"/>
        </w:rPr>
      </w:pPr>
      <w:r>
        <w:rPr>
          <w:rFonts w:hint="eastAsia" w:ascii="仿宋_GB2312" w:eastAsia="仿宋_GB2312"/>
          <w:sz w:val="32"/>
          <w:szCs w:val="32"/>
        </w:rPr>
        <w:t>四、财政拨款收支预算表</w:t>
      </w:r>
    </w:p>
    <w:p>
      <w:pPr>
        <w:snapToGrid w:val="0"/>
        <w:ind w:firstLine="426"/>
        <w:rPr>
          <w:rFonts w:ascii="仿宋_GB2312" w:eastAsia="仿宋_GB2312"/>
          <w:sz w:val="32"/>
          <w:szCs w:val="32"/>
        </w:rPr>
      </w:pPr>
      <w:r>
        <w:rPr>
          <w:rFonts w:hint="eastAsia" w:ascii="仿宋_GB2312" w:eastAsia="仿宋_GB2312"/>
          <w:sz w:val="32"/>
          <w:szCs w:val="32"/>
        </w:rPr>
        <w:t>五、一般公共预算支出预算表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六、一般公共预算基本支出预算表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七、一般公共预算“三公”经费预算表</w:t>
      </w:r>
    </w:p>
    <w:p>
      <w:pPr>
        <w:snapToGrid w:val="0"/>
        <w:ind w:firstLine="426"/>
        <w:rPr>
          <w:rFonts w:ascii="仿宋_GB2312" w:eastAsia="仿宋_GB2312"/>
          <w:sz w:val="32"/>
          <w:szCs w:val="32"/>
        </w:rPr>
      </w:pPr>
      <w:r>
        <w:rPr>
          <w:rFonts w:hint="eastAsia" w:ascii="仿宋_GB2312" w:eastAsia="仿宋_GB2312"/>
          <w:sz w:val="32"/>
          <w:szCs w:val="32"/>
        </w:rPr>
        <w:t>八、政府性基金支出预算表</w:t>
      </w:r>
    </w:p>
    <w:p>
      <w:pPr>
        <w:snapToGrid w:val="0"/>
        <w:ind w:firstLine="426"/>
        <w:rPr>
          <w:rFonts w:ascii="仿宋_GB2312" w:eastAsia="仿宋_GB2312"/>
          <w:sz w:val="32"/>
          <w:szCs w:val="32"/>
        </w:rPr>
      </w:pPr>
      <w:r>
        <w:rPr>
          <w:rFonts w:hint="eastAsia" w:ascii="仿宋_GB2312" w:eastAsia="仿宋_GB2312"/>
          <w:sz w:val="32"/>
          <w:szCs w:val="32"/>
        </w:rPr>
        <w:t>九、支出经济分类汇总表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DRhYzRjYzE1NzMyZmE0NGFhZWZjNTExZDQ0ZTcifQ=="/>
  </w:docVars>
  <w:rsids>
    <w:rsidRoot w:val="006E0667"/>
    <w:rsid w:val="00000164"/>
    <w:rsid w:val="00031516"/>
    <w:rsid w:val="000564F2"/>
    <w:rsid w:val="000825E7"/>
    <w:rsid w:val="00084CA2"/>
    <w:rsid w:val="000A21F8"/>
    <w:rsid w:val="000E6415"/>
    <w:rsid w:val="00163512"/>
    <w:rsid w:val="00197CC4"/>
    <w:rsid w:val="001A2966"/>
    <w:rsid w:val="00205E20"/>
    <w:rsid w:val="00225252"/>
    <w:rsid w:val="00231B1C"/>
    <w:rsid w:val="00265583"/>
    <w:rsid w:val="002F2F0E"/>
    <w:rsid w:val="00311D42"/>
    <w:rsid w:val="00330E39"/>
    <w:rsid w:val="00366DA4"/>
    <w:rsid w:val="00373D7B"/>
    <w:rsid w:val="003928F8"/>
    <w:rsid w:val="003A0929"/>
    <w:rsid w:val="003A3239"/>
    <w:rsid w:val="003A761F"/>
    <w:rsid w:val="003F497C"/>
    <w:rsid w:val="00410089"/>
    <w:rsid w:val="00470C6C"/>
    <w:rsid w:val="004B5D7D"/>
    <w:rsid w:val="00514787"/>
    <w:rsid w:val="00545A43"/>
    <w:rsid w:val="00553BB7"/>
    <w:rsid w:val="00564FBA"/>
    <w:rsid w:val="005C65BF"/>
    <w:rsid w:val="005D5310"/>
    <w:rsid w:val="00671A9B"/>
    <w:rsid w:val="006857C5"/>
    <w:rsid w:val="00686025"/>
    <w:rsid w:val="0068696D"/>
    <w:rsid w:val="006A0CE5"/>
    <w:rsid w:val="006A512F"/>
    <w:rsid w:val="006D30E7"/>
    <w:rsid w:val="006E0667"/>
    <w:rsid w:val="00715345"/>
    <w:rsid w:val="007244ED"/>
    <w:rsid w:val="007424E5"/>
    <w:rsid w:val="00746831"/>
    <w:rsid w:val="007476A0"/>
    <w:rsid w:val="007A02F8"/>
    <w:rsid w:val="007A79BD"/>
    <w:rsid w:val="007D107D"/>
    <w:rsid w:val="00843FE4"/>
    <w:rsid w:val="008747E3"/>
    <w:rsid w:val="008B2FFB"/>
    <w:rsid w:val="008D28D7"/>
    <w:rsid w:val="00921CA8"/>
    <w:rsid w:val="009336BE"/>
    <w:rsid w:val="00972071"/>
    <w:rsid w:val="0098358A"/>
    <w:rsid w:val="00983B19"/>
    <w:rsid w:val="00984F09"/>
    <w:rsid w:val="009B4F88"/>
    <w:rsid w:val="009B6947"/>
    <w:rsid w:val="009D0D41"/>
    <w:rsid w:val="00AC7B36"/>
    <w:rsid w:val="00AD7AE6"/>
    <w:rsid w:val="00AF4E68"/>
    <w:rsid w:val="00B26D5C"/>
    <w:rsid w:val="00B30835"/>
    <w:rsid w:val="00BA1505"/>
    <w:rsid w:val="00BC6702"/>
    <w:rsid w:val="00BF37B0"/>
    <w:rsid w:val="00C10989"/>
    <w:rsid w:val="00C648C4"/>
    <w:rsid w:val="00D72B10"/>
    <w:rsid w:val="00D731F2"/>
    <w:rsid w:val="00E13A03"/>
    <w:rsid w:val="00E35C90"/>
    <w:rsid w:val="00E5280C"/>
    <w:rsid w:val="00EC4B55"/>
    <w:rsid w:val="00ED2B32"/>
    <w:rsid w:val="01F50058"/>
    <w:rsid w:val="02A8694A"/>
    <w:rsid w:val="04C24CD3"/>
    <w:rsid w:val="066D0C7E"/>
    <w:rsid w:val="06BE1DED"/>
    <w:rsid w:val="07765636"/>
    <w:rsid w:val="07EC657B"/>
    <w:rsid w:val="084F3636"/>
    <w:rsid w:val="08CF5BF8"/>
    <w:rsid w:val="0C956DB9"/>
    <w:rsid w:val="0D0A4958"/>
    <w:rsid w:val="0E8B0118"/>
    <w:rsid w:val="10BB1A3D"/>
    <w:rsid w:val="10D93902"/>
    <w:rsid w:val="11F148A3"/>
    <w:rsid w:val="12616F90"/>
    <w:rsid w:val="12686164"/>
    <w:rsid w:val="136F6984"/>
    <w:rsid w:val="17024C77"/>
    <w:rsid w:val="1B327E0A"/>
    <w:rsid w:val="1E1C1FAB"/>
    <w:rsid w:val="20F53F6B"/>
    <w:rsid w:val="21172D08"/>
    <w:rsid w:val="25097E0B"/>
    <w:rsid w:val="2D780E48"/>
    <w:rsid w:val="30DD6B5B"/>
    <w:rsid w:val="3168305B"/>
    <w:rsid w:val="319D59F6"/>
    <w:rsid w:val="337D42E4"/>
    <w:rsid w:val="37740D13"/>
    <w:rsid w:val="393007A6"/>
    <w:rsid w:val="39CE1876"/>
    <w:rsid w:val="3AEB3A7E"/>
    <w:rsid w:val="3B725565"/>
    <w:rsid w:val="3BBC1D2C"/>
    <w:rsid w:val="3DB812AD"/>
    <w:rsid w:val="423D3584"/>
    <w:rsid w:val="42516765"/>
    <w:rsid w:val="453B6737"/>
    <w:rsid w:val="45AE7C98"/>
    <w:rsid w:val="45ED2F2A"/>
    <w:rsid w:val="471314C5"/>
    <w:rsid w:val="48EC3681"/>
    <w:rsid w:val="4A163A61"/>
    <w:rsid w:val="4A183A49"/>
    <w:rsid w:val="4B17485A"/>
    <w:rsid w:val="4B540996"/>
    <w:rsid w:val="4B901AAA"/>
    <w:rsid w:val="4CB25A45"/>
    <w:rsid w:val="4DC340C1"/>
    <w:rsid w:val="4EB23847"/>
    <w:rsid w:val="4EBE01FD"/>
    <w:rsid w:val="55C66FFA"/>
    <w:rsid w:val="55CA7913"/>
    <w:rsid w:val="55E70272"/>
    <w:rsid w:val="576B0713"/>
    <w:rsid w:val="58802D5A"/>
    <w:rsid w:val="59CD76D7"/>
    <w:rsid w:val="5A7054A3"/>
    <w:rsid w:val="5AB45193"/>
    <w:rsid w:val="5CA8687F"/>
    <w:rsid w:val="5DA20542"/>
    <w:rsid w:val="5F9638AD"/>
    <w:rsid w:val="60AF768B"/>
    <w:rsid w:val="60D15B65"/>
    <w:rsid w:val="60D3160D"/>
    <w:rsid w:val="62A92DCC"/>
    <w:rsid w:val="67471495"/>
    <w:rsid w:val="6AA309C2"/>
    <w:rsid w:val="6AB327AA"/>
    <w:rsid w:val="6D4E25BA"/>
    <w:rsid w:val="6D7F0E6D"/>
    <w:rsid w:val="6DD00BE6"/>
    <w:rsid w:val="6F920B9B"/>
    <w:rsid w:val="6F9B7A32"/>
    <w:rsid w:val="6FEF753F"/>
    <w:rsid w:val="72356867"/>
    <w:rsid w:val="72CE3402"/>
    <w:rsid w:val="7476525D"/>
    <w:rsid w:val="76236B68"/>
    <w:rsid w:val="7701693E"/>
    <w:rsid w:val="78BD42BC"/>
    <w:rsid w:val="79D11516"/>
    <w:rsid w:val="7A0415DC"/>
    <w:rsid w:val="7A78516B"/>
    <w:rsid w:val="7B530E71"/>
    <w:rsid w:val="7BB4641C"/>
    <w:rsid w:val="7C57305E"/>
    <w:rsid w:val="7CA378FF"/>
    <w:rsid w:val="7CAB2C00"/>
    <w:rsid w:val="7D8E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3139</Words>
  <Characters>3386</Characters>
  <Lines>24</Lines>
  <Paragraphs>6</Paragraphs>
  <TotalTime>8</TotalTime>
  <ScaleCrop>false</ScaleCrop>
  <LinksUpToDate>false</LinksUpToDate>
  <CharactersWithSpaces>3404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2022-06-08T03:28:00Z</dcterms:created>
  <dc:creator>null,null,总收发</dc:creator>
  <cp:lastModifiedBy>孙云龙</cp:lastModifiedBy>
  <cp:lastPrinted>2022-06-17T08:16:00Z</cp:lastPrinted>
  <dcterms:modified xsi:type="dcterms:W3CDTF">2022-09-01T09:38:06Z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857A1A852A5246FC8F243D7DE5FE6BBC</vt:lpwstr>
  </property>
</Properties>
</file>