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方正小标宋简体" w:hAnsi="黑体" w:eastAsia="方正小标宋简体"/>
          <w:w w:val="90"/>
          <w:sz w:val="44"/>
          <w:szCs w:val="32"/>
        </w:rPr>
      </w:pPr>
    </w:p>
    <w:p>
      <w:pPr>
        <w:spacing w:line="580" w:lineRule="exact"/>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邓州市湍惠渠管理所2021年单位预算基本情况说明</w:t>
      </w:r>
    </w:p>
    <w:p>
      <w:pPr>
        <w:jc w:val="center"/>
        <w:rPr>
          <w:rFonts w:ascii="宋体" w:hAnsi="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312" w:beforeLines="100"/>
        <w:jc w:val="left"/>
        <w:rPr>
          <w:rFonts w:ascii="黑体" w:hAnsi="宋体" w:eastAsia="黑体"/>
          <w:sz w:val="32"/>
          <w:szCs w:val="32"/>
        </w:rPr>
      </w:pPr>
      <w:r>
        <w:rPr>
          <w:rFonts w:hint="eastAsia" w:ascii="黑体" w:hAnsi="宋体" w:eastAsia="黑体"/>
          <w:sz w:val="32"/>
          <w:szCs w:val="32"/>
        </w:rPr>
        <w:t>第一部分  邓州市湍惠渠管理所概况</w:t>
      </w:r>
    </w:p>
    <w:p>
      <w:pPr>
        <w:pStyle w:val="10"/>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10"/>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w w:val="90"/>
          <w:sz w:val="32"/>
          <w:szCs w:val="32"/>
        </w:rPr>
      </w:pPr>
      <w:r>
        <w:rPr>
          <w:rFonts w:hint="eastAsia" w:ascii="黑体" w:hAnsi="宋体" w:eastAsia="黑体"/>
          <w:sz w:val="32"/>
          <w:szCs w:val="32"/>
        </w:rPr>
        <w:t xml:space="preserve">第二部分 </w:t>
      </w:r>
      <w:r>
        <w:rPr>
          <w:rFonts w:hint="eastAsia" w:ascii="黑体" w:hAnsi="宋体" w:eastAsia="黑体"/>
          <w:w w:val="90"/>
          <w:sz w:val="32"/>
          <w:szCs w:val="32"/>
        </w:rPr>
        <w:t>邓州市湍惠渠管理所单位2021年预算情况说明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w:t>
      </w:r>
      <w:r>
        <w:rPr>
          <w:rFonts w:hint="eastAsia" w:ascii="仿宋_GB2312" w:eastAsia="仿宋_GB2312"/>
          <w:sz w:val="32"/>
          <w:szCs w:val="32"/>
        </w:rPr>
        <w:t>2021</w:t>
      </w:r>
      <w:r>
        <w:rPr>
          <w:rFonts w:hint="eastAsia" w:ascii="仿宋_GB2312" w:hAnsi="宋体" w:eastAsia="仿宋_GB2312"/>
          <w:sz w:val="32"/>
          <w:szCs w:val="32"/>
        </w:rPr>
        <w:t>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rPr>
          <w:rFonts w:ascii="仿宋_GB2312" w:hAnsi="宋体" w:eastAsia="仿宋_GB2312"/>
          <w:b/>
          <w:sz w:val="32"/>
          <w:szCs w:val="32"/>
        </w:rPr>
      </w:pPr>
    </w:p>
    <w:p>
      <w:pPr>
        <w:rPr>
          <w:rFonts w:ascii="仿宋_GB2312" w:hAnsi="宋体" w:eastAsia="仿宋_GB2312"/>
          <w:b/>
          <w:sz w:val="32"/>
          <w:szCs w:val="32"/>
        </w:rPr>
      </w:pP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邓州市湍惠渠管理所概况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为辖区水利灌区提供管理维护、灌渠管理、维护、水产养殖。</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邓州市湍惠渠管理所单位预算包括：办公室、财务科、工管科的预算。</w:t>
      </w:r>
    </w:p>
    <w:p>
      <w:pPr>
        <w:ind w:firstLine="566" w:firstLineChars="177"/>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邓州市湍惠渠管理所2021年单位预算情况说明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年收入总计</w:t>
      </w:r>
      <w:r>
        <w:rPr>
          <w:rFonts w:hint="eastAsia" w:ascii="Times New Roman" w:hAnsi="Times New Roman" w:eastAsia="仿宋_GB2312" w:cs="Times New Roman"/>
          <w:sz w:val="32"/>
          <w:szCs w:val="32"/>
        </w:rPr>
        <w:t>189.35</w:t>
      </w:r>
      <w:r>
        <w:rPr>
          <w:rFonts w:hint="eastAsia" w:ascii="仿宋_GB2312" w:eastAsia="仿宋_GB2312"/>
          <w:sz w:val="32"/>
          <w:szCs w:val="32"/>
        </w:rPr>
        <w:t>万元，支出总计</w:t>
      </w:r>
      <w:r>
        <w:rPr>
          <w:rFonts w:hint="eastAsia" w:ascii="Times New Roman" w:hAnsi="Times New Roman" w:eastAsia="仿宋_GB2312" w:cs="Times New Roman"/>
          <w:sz w:val="32"/>
          <w:szCs w:val="32"/>
        </w:rPr>
        <w:t>189.35</w:t>
      </w:r>
      <w:r>
        <w:rPr>
          <w:rFonts w:hint="eastAsia" w:ascii="仿宋_GB2312" w:eastAsia="仿宋_GB2312"/>
          <w:sz w:val="32"/>
          <w:szCs w:val="32"/>
        </w:rPr>
        <w:t>万元，与</w:t>
      </w:r>
      <w:r>
        <w:rPr>
          <w:rFonts w:hint="eastAsia" w:ascii="Times New Roman" w:hAnsi="Times New Roman" w:eastAsia="仿宋_GB2312" w:cs="Times New Roman"/>
          <w:sz w:val="32"/>
          <w:szCs w:val="32"/>
        </w:rPr>
        <w:t>2020</w:t>
      </w:r>
      <w:r>
        <w:rPr>
          <w:rFonts w:hint="eastAsia" w:ascii="仿宋_GB2312" w:eastAsia="仿宋_GB2312"/>
          <w:sz w:val="32"/>
          <w:szCs w:val="32"/>
        </w:rPr>
        <w:t>年相比，收入、支出各增长</w:t>
      </w:r>
      <w:r>
        <w:rPr>
          <w:rFonts w:hint="eastAsia" w:ascii="Times New Roman" w:hAnsi="Times New Roman" w:eastAsia="仿宋_GB2312" w:cs="Times New Roman"/>
          <w:sz w:val="32"/>
          <w:szCs w:val="32"/>
        </w:rPr>
        <w:t>4.47</w:t>
      </w:r>
      <w:r>
        <w:rPr>
          <w:rFonts w:hint="eastAsia" w:ascii="仿宋_GB2312" w:eastAsia="仿宋_GB2312"/>
          <w:color w:val="000000"/>
          <w:sz w:val="32"/>
          <w:szCs w:val="32"/>
        </w:rPr>
        <w:t>万</w:t>
      </w:r>
      <w:r>
        <w:rPr>
          <w:rFonts w:hint="eastAsia" w:ascii="仿宋_GB2312" w:eastAsia="仿宋_GB2312"/>
          <w:sz w:val="32"/>
          <w:szCs w:val="32"/>
        </w:rPr>
        <w:t>元。主要原因是：单位人员工资晋级增资</w:t>
      </w:r>
      <w:r>
        <w:rPr>
          <w:rFonts w:hint="eastAsia" w:eastAsia="仿宋_GB2312"/>
          <w:sz w:val="32"/>
          <w:szCs w:val="32"/>
        </w:rPr>
        <w:t>。</w:t>
      </w:r>
      <w:r>
        <w:rPr>
          <w:rFonts w:ascii="仿宋_GB2312" w:eastAsia="仿宋_GB2312"/>
          <w:sz w:val="32"/>
          <w:szCs w:val="32"/>
        </w:rPr>
        <w:t xml:space="preserve"> </w:t>
      </w:r>
    </w:p>
    <w:p>
      <w:pPr>
        <w:ind w:firstLine="640" w:firstLineChars="200"/>
        <w:rPr>
          <w:rFonts w:ascii="黑体" w:eastAsia="黑体"/>
          <w:sz w:val="32"/>
          <w:szCs w:val="32"/>
        </w:rPr>
      </w:pPr>
      <w:r>
        <w:rPr>
          <w:rFonts w:hint="eastAsia" w:ascii="黑体" w:eastAsia="黑体"/>
          <w:sz w:val="32"/>
          <w:szCs w:val="32"/>
        </w:rPr>
        <w:t>二、收入预算总体情况说明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年收入预算</w:t>
      </w:r>
      <w:r>
        <w:rPr>
          <w:rFonts w:hint="eastAsia" w:ascii="Times New Roman" w:hAnsi="Times New Roman" w:eastAsia="仿宋_GB2312" w:cs="Times New Roman"/>
          <w:sz w:val="32"/>
          <w:szCs w:val="32"/>
        </w:rPr>
        <w:t>189.35</w:t>
      </w:r>
      <w:r>
        <w:rPr>
          <w:rFonts w:hint="eastAsia" w:ascii="仿宋_GB2312" w:eastAsia="仿宋_GB2312"/>
          <w:sz w:val="32"/>
          <w:szCs w:val="32"/>
        </w:rPr>
        <w:t>万元，其中：</w:t>
      </w:r>
      <w:r>
        <w:rPr>
          <w:rFonts w:hint="eastAsia" w:eastAsia="仿宋_GB2312"/>
          <w:sz w:val="32"/>
          <w:szCs w:val="32"/>
        </w:rPr>
        <w:t>一般公共预算收入</w:t>
      </w:r>
      <w:r>
        <w:rPr>
          <w:rFonts w:hint="eastAsia" w:ascii="Times New Roman" w:hAnsi="Times New Roman" w:eastAsia="仿宋_GB2312" w:cs="Times New Roman"/>
          <w:sz w:val="32"/>
          <w:szCs w:val="32"/>
        </w:rPr>
        <w:t>189.35</w:t>
      </w:r>
      <w:r>
        <w:rPr>
          <w:rFonts w:hint="eastAsia" w:ascii="仿宋_GB2312" w:eastAsia="仿宋_GB2312"/>
          <w:sz w:val="32"/>
          <w:szCs w:val="32"/>
        </w:rPr>
        <w:t>万元，政府性基金收入</w:t>
      </w:r>
      <w:r>
        <w:rPr>
          <w:rFonts w:hint="eastAsia" w:ascii="Times New Roman" w:hAnsi="Times New Roman" w:eastAsia="仿宋_GB2312" w:cs="Times New Roman"/>
          <w:sz w:val="32"/>
          <w:szCs w:val="32"/>
        </w:rPr>
        <w:t>0</w:t>
      </w:r>
      <w:r>
        <w:rPr>
          <w:rFonts w:hint="eastAsia" w:ascii="仿宋_GB2312" w:eastAsia="仿宋_GB2312"/>
          <w:sz w:val="32"/>
          <w:szCs w:val="32"/>
        </w:rPr>
        <w:t>万元，国有资本经营预算收入</w:t>
      </w:r>
      <w:r>
        <w:rPr>
          <w:rFonts w:hint="eastAsia" w:ascii="Times New Roman" w:hAnsi="Times New Roman" w:eastAsia="仿宋_GB2312" w:cs="Times New Roman"/>
          <w:sz w:val="32"/>
          <w:szCs w:val="32"/>
        </w:rPr>
        <w:t>0</w:t>
      </w:r>
      <w:r>
        <w:rPr>
          <w:rFonts w:hint="eastAsia" w:ascii="仿宋_GB2312" w:eastAsia="仿宋_GB2312"/>
          <w:sz w:val="32"/>
          <w:szCs w:val="32"/>
        </w:rPr>
        <w:t>万元，财政专户管理资金收入</w:t>
      </w:r>
      <w:r>
        <w:rPr>
          <w:rFonts w:hint="eastAsia" w:ascii="Times New Roman" w:hAnsi="Times New Roman" w:eastAsia="仿宋_GB2312" w:cs="Times New Roman"/>
          <w:sz w:val="32"/>
          <w:szCs w:val="32"/>
        </w:rPr>
        <w:t>0</w:t>
      </w:r>
      <w:r>
        <w:rPr>
          <w:rFonts w:hint="eastAsia" w:ascii="仿宋_GB2312" w:eastAsia="仿宋_GB2312"/>
          <w:sz w:val="32"/>
          <w:szCs w:val="32"/>
        </w:rPr>
        <w:t>万元。</w:t>
      </w:r>
    </w:p>
    <w:p>
      <w:pPr>
        <w:ind w:firstLine="709"/>
        <w:rPr>
          <w:rFonts w:ascii="黑体" w:eastAsia="黑体"/>
          <w:sz w:val="32"/>
          <w:szCs w:val="32"/>
        </w:rPr>
      </w:pPr>
      <w:r>
        <w:rPr>
          <w:rFonts w:hint="eastAsia" w:ascii="黑体" w:eastAsia="黑体"/>
          <w:sz w:val="32"/>
          <w:szCs w:val="32"/>
        </w:rPr>
        <w:t>三、支出预算总体情况说明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年支出预算</w:t>
      </w:r>
      <w:r>
        <w:rPr>
          <w:rFonts w:hint="eastAsia" w:ascii="Times New Roman" w:hAnsi="Times New Roman" w:eastAsia="仿宋_GB2312" w:cs="Times New Roman"/>
          <w:sz w:val="32"/>
          <w:szCs w:val="32"/>
        </w:rPr>
        <w:t>189.35</w:t>
      </w:r>
      <w:r>
        <w:rPr>
          <w:rFonts w:hint="eastAsia" w:ascii="仿宋_GB2312" w:eastAsia="仿宋_GB2312"/>
          <w:sz w:val="32"/>
          <w:szCs w:val="32"/>
        </w:rPr>
        <w:t>万元，其中：基本支出</w:t>
      </w:r>
      <w:r>
        <w:rPr>
          <w:rFonts w:hint="eastAsia" w:ascii="Times New Roman" w:hAnsi="Times New Roman" w:eastAsia="仿宋_GB2312" w:cs="Times New Roman"/>
          <w:sz w:val="32"/>
          <w:szCs w:val="32"/>
        </w:rPr>
        <w:t>186.65</w:t>
      </w:r>
      <w:r>
        <w:rPr>
          <w:rFonts w:hint="eastAsia" w:ascii="仿宋_GB2312" w:eastAsia="仿宋_GB2312"/>
          <w:sz w:val="32"/>
          <w:szCs w:val="32"/>
        </w:rPr>
        <w:t>万元，占年度计划的</w:t>
      </w:r>
      <w:r>
        <w:rPr>
          <w:rFonts w:hint="eastAsia" w:ascii="Times New Roman" w:hAnsi="Times New Roman" w:eastAsia="仿宋_GB2312" w:cs="Times New Roman"/>
          <w:sz w:val="32"/>
          <w:szCs w:val="32"/>
        </w:rPr>
        <w:t>98.57%</w:t>
      </w:r>
      <w:r>
        <w:rPr>
          <w:rFonts w:hint="eastAsia" w:ascii="仿宋_GB2312" w:eastAsia="仿宋_GB2312"/>
          <w:sz w:val="32"/>
          <w:szCs w:val="32"/>
        </w:rPr>
        <w:t>；项目支出</w:t>
      </w:r>
      <w:r>
        <w:rPr>
          <w:rFonts w:hint="eastAsia" w:ascii="Times New Roman" w:hAnsi="Times New Roman" w:eastAsia="仿宋_GB2312" w:cs="Times New Roman"/>
          <w:sz w:val="32"/>
          <w:szCs w:val="32"/>
        </w:rPr>
        <w:t>2.7</w:t>
      </w:r>
      <w:r>
        <w:rPr>
          <w:rFonts w:hint="eastAsia" w:ascii="仿宋_GB2312" w:eastAsia="仿宋_GB2312"/>
          <w:sz w:val="32"/>
          <w:szCs w:val="32"/>
        </w:rPr>
        <w:t>万元，占年度计划的</w:t>
      </w:r>
      <w:r>
        <w:rPr>
          <w:rFonts w:hint="eastAsia" w:ascii="Times New Roman" w:hAnsi="Times New Roman" w:eastAsia="仿宋_GB2312" w:cs="Times New Roman"/>
          <w:sz w:val="32"/>
          <w:szCs w:val="32"/>
        </w:rPr>
        <w:t>1.43%</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年一般公共预算收支预算</w:t>
      </w:r>
      <w:r>
        <w:rPr>
          <w:rFonts w:hint="eastAsia" w:ascii="Times New Roman" w:hAnsi="Times New Roman" w:eastAsia="仿宋_GB2312" w:cs="Times New Roman"/>
          <w:sz w:val="32"/>
          <w:szCs w:val="32"/>
        </w:rPr>
        <w:t>189.35</w:t>
      </w:r>
      <w:r>
        <w:rPr>
          <w:rFonts w:hint="eastAsia" w:ascii="仿宋_GB2312" w:eastAsia="仿宋_GB2312"/>
          <w:sz w:val="32"/>
          <w:szCs w:val="32"/>
        </w:rPr>
        <w:t>万元，政府性基金收支预算</w:t>
      </w:r>
      <w:r>
        <w:rPr>
          <w:rFonts w:hint="eastAsia" w:ascii="Times New Roman" w:hAnsi="Times New Roman" w:eastAsia="仿宋_GB2312" w:cs="Times New Roman"/>
          <w:sz w:val="32"/>
          <w:szCs w:val="32"/>
        </w:rPr>
        <w:t>0</w:t>
      </w:r>
      <w:r>
        <w:rPr>
          <w:rFonts w:hint="eastAsia" w:ascii="仿宋_GB2312" w:eastAsia="仿宋_GB2312"/>
          <w:sz w:val="32"/>
          <w:szCs w:val="32"/>
        </w:rPr>
        <w:t>元，国有资本经营收支预算</w:t>
      </w:r>
      <w:r>
        <w:rPr>
          <w:rFonts w:hint="eastAsia" w:ascii="Times New Roman" w:hAnsi="Times New Roman" w:eastAsia="仿宋_GB2312" w:cs="Times New Roman"/>
          <w:sz w:val="32"/>
          <w:szCs w:val="32"/>
        </w:rPr>
        <w:t>0</w:t>
      </w:r>
      <w:r>
        <w:rPr>
          <w:rFonts w:hint="eastAsia" w:ascii="仿宋_GB2312" w:eastAsia="仿宋_GB2312"/>
          <w:sz w:val="32"/>
          <w:szCs w:val="32"/>
        </w:rPr>
        <w:t>万元，与</w:t>
      </w:r>
      <w:r>
        <w:rPr>
          <w:rFonts w:hint="eastAsia" w:ascii="Times New Roman" w:hAnsi="Times New Roman" w:eastAsia="仿宋_GB2312" w:cs="Times New Roman"/>
          <w:sz w:val="32"/>
          <w:szCs w:val="32"/>
        </w:rPr>
        <w:t>2020</w:t>
      </w:r>
      <w:r>
        <w:rPr>
          <w:rFonts w:hint="eastAsia" w:ascii="仿宋_GB2312" w:eastAsia="仿宋_GB2312"/>
          <w:sz w:val="32"/>
          <w:szCs w:val="32"/>
        </w:rPr>
        <w:t>年相比，收入支出增长</w:t>
      </w:r>
      <w:r>
        <w:rPr>
          <w:rFonts w:hint="eastAsia" w:ascii="Times New Roman" w:hAnsi="Times New Roman" w:eastAsia="仿宋_GB2312" w:cs="Times New Roman"/>
          <w:sz w:val="32"/>
          <w:szCs w:val="32"/>
        </w:rPr>
        <w:t>4.47</w:t>
      </w:r>
      <w:r>
        <w:rPr>
          <w:rFonts w:hint="eastAsia" w:ascii="仿宋_GB2312" w:eastAsia="仿宋_GB2312"/>
          <w:sz w:val="32"/>
          <w:szCs w:val="32"/>
        </w:rPr>
        <w:t>万元。主要原因是：单位人员工资晋级增资</w:t>
      </w:r>
      <w:r>
        <w:rPr>
          <w:rFonts w:hint="eastAsia"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189.35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基本支出186.65万元，占98.57%；项目支出2.7万元，占1.43%。</w:t>
      </w:r>
    </w:p>
    <w:p>
      <w:pPr>
        <w:ind w:firstLine="640" w:firstLineChars="200"/>
        <w:rPr>
          <w:rFonts w:ascii="Times New Roman" w:hAnsi="Times New Roman" w:eastAsia="仿宋_GB2312" w:cs="Times New Roman"/>
          <w:b/>
          <w:bCs/>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186.65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人员经费支出181.78万元，占97.39%；公用经费支出4.87万元，占2.61%。</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年“三公”经费预算为</w:t>
      </w:r>
      <w:r>
        <w:rPr>
          <w:rFonts w:hint="eastAsia" w:ascii="Times New Roman" w:hAnsi="Times New Roman" w:eastAsia="仿宋_GB2312" w:cs="Times New Roman"/>
          <w:sz w:val="32"/>
          <w:szCs w:val="32"/>
        </w:rPr>
        <w:t>0.30</w:t>
      </w:r>
      <w:r>
        <w:rPr>
          <w:rFonts w:hint="eastAsia" w:ascii="仿宋_GB2312" w:eastAsia="仿宋_GB2312"/>
          <w:sz w:val="32"/>
          <w:szCs w:val="32"/>
        </w:rPr>
        <w:t>万元。比</w:t>
      </w:r>
      <w:r>
        <w:rPr>
          <w:rFonts w:hint="eastAsia" w:ascii="Times New Roman" w:hAnsi="Times New Roman" w:eastAsia="仿宋_GB2312" w:cs="Times New Roman"/>
          <w:sz w:val="32"/>
          <w:szCs w:val="32"/>
        </w:rPr>
        <w:t>2020</w:t>
      </w:r>
      <w:r>
        <w:rPr>
          <w:rFonts w:hint="eastAsia" w:ascii="仿宋_GB2312" w:eastAsia="仿宋_GB2312"/>
          <w:sz w:val="32"/>
          <w:szCs w:val="32"/>
        </w:rPr>
        <w:t>年减少</w:t>
      </w:r>
      <w:r>
        <w:rPr>
          <w:rFonts w:hint="eastAsia" w:ascii="Times New Roman" w:hAnsi="Times New Roman" w:eastAsia="仿宋_GB2312" w:cs="Times New Roman"/>
          <w:sz w:val="32"/>
          <w:szCs w:val="32"/>
        </w:rPr>
        <w:t>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主要用于单位工作人员公务出国（境）的住宿费、差旅费、伙食补助费、杂费、培训费等支出。预算数与</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w:t>
      </w:r>
      <w:r>
        <w:rPr>
          <w:rFonts w:hint="eastAsia" w:ascii="Times New Roman" w:hAnsi="Times New Roman" w:eastAsia="仿宋_GB2312" w:cs="Times New Roman"/>
          <w:sz w:val="32"/>
          <w:szCs w:val="32"/>
        </w:rPr>
        <w:t>0</w:t>
      </w:r>
      <w:r>
        <w:rPr>
          <w:rFonts w:hint="eastAsia" w:ascii="仿宋_GB2312" w:eastAsia="仿宋_GB2312"/>
          <w:sz w:val="32"/>
          <w:szCs w:val="32"/>
        </w:rPr>
        <w:t>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主要用于开展工作所需公务用车的燃料费、维修费、过路过桥费、保险费等支出。公务用车购置费预算数与2020年持平，均为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w:t>
      </w:r>
      <w:r>
        <w:rPr>
          <w:rFonts w:hint="eastAsia" w:ascii="Times New Roman" w:hAnsi="Times New Roman" w:eastAsia="仿宋_GB2312" w:cs="仿宋_GB2312"/>
          <w:sz w:val="32"/>
          <w:szCs w:val="32"/>
        </w:rPr>
        <w:t>预算数与</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r>
        <w:rPr>
          <w:rFonts w:hint="eastAsia" w:ascii="Times New Roman" w:hAnsi="Times New Roman" w:eastAsia="仿宋_GB2312" w:cs="Times New Roman"/>
          <w:sz w:val="32"/>
          <w:szCs w:val="32"/>
        </w:rPr>
        <w:t>。</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公务接待费0.30万元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w:t>
      </w:r>
      <w:r>
        <w:rPr>
          <w:rFonts w:hint="eastAsia" w:ascii="Times New Roman" w:hAnsi="Times New Roman" w:eastAsia="仿宋_GB2312" w:cs="仿宋_GB2312"/>
          <w:sz w:val="32"/>
          <w:szCs w:val="32"/>
        </w:rPr>
        <w:t>预算数与</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年机关运行经费支出预算</w:t>
      </w:r>
      <w:r>
        <w:rPr>
          <w:rFonts w:hint="eastAsia" w:ascii="Times New Roman" w:hAnsi="Times New Roman" w:eastAsia="仿宋_GB2312" w:cs="Times New Roman"/>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年，我单位拟组织对管护经费1个项目进行预算绩效评价，涉及资金</w:t>
      </w:r>
      <w:r>
        <w:rPr>
          <w:rFonts w:hint="eastAsia" w:ascii="Times New Roman" w:hAnsi="Times New Roman" w:eastAsia="仿宋_GB2312" w:cs="Times New Roman"/>
          <w:sz w:val="32"/>
          <w:szCs w:val="32"/>
        </w:rPr>
        <w:t>2.70</w:t>
      </w:r>
      <w:r>
        <w:rPr>
          <w:rFonts w:hint="eastAsia" w:ascii="仿宋_GB2312" w:eastAsia="仿宋_GB2312"/>
          <w:sz w:val="32"/>
          <w:szCs w:val="32"/>
        </w:rPr>
        <w:t>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640" w:firstLineChars="200"/>
        <w:rPr>
          <w:rFonts w:ascii="仿宋_GB2312" w:eastAsia="仿宋_GB2312"/>
          <w:color w:val="000000"/>
          <w:sz w:val="32"/>
          <w:szCs w:val="32"/>
          <w:highlight w:val="yellow"/>
        </w:rPr>
      </w:pPr>
      <w:r>
        <w:rPr>
          <w:rFonts w:hint="eastAsia" w:ascii="Times New Roman" w:hAnsi="Times New Roman" w:eastAsia="仿宋_GB2312" w:cs="Times New Roman"/>
          <w:sz w:val="32"/>
          <w:szCs w:val="32"/>
        </w:rPr>
        <w:t>2020</w:t>
      </w:r>
      <w:r>
        <w:rPr>
          <w:rFonts w:hint="eastAsia" w:ascii="仿宋_GB2312" w:eastAsia="仿宋_GB2312"/>
          <w:sz w:val="32"/>
          <w:szCs w:val="32"/>
        </w:rPr>
        <w:t>年期末，我单位共有车辆</w:t>
      </w:r>
      <w:r>
        <w:rPr>
          <w:rFonts w:hint="eastAsia" w:ascii="Times New Roman" w:hAnsi="Times New Roman" w:eastAsia="仿宋_GB2312" w:cs="Times New Roman"/>
          <w:sz w:val="32"/>
          <w:szCs w:val="32"/>
        </w:rPr>
        <w:t>0</w:t>
      </w:r>
      <w:r>
        <w:rPr>
          <w:rFonts w:hint="eastAsia" w:ascii="仿宋_GB2312" w:eastAsia="仿宋_GB2312"/>
          <w:sz w:val="32"/>
          <w:szCs w:val="32"/>
        </w:rPr>
        <w:t>辆，其中：一般公务用车</w:t>
      </w:r>
      <w:r>
        <w:rPr>
          <w:rFonts w:hint="eastAsia" w:ascii="Times New Roman" w:hAnsi="Times New Roman" w:eastAsia="仿宋_GB2312" w:cs="Times New Roman"/>
          <w:sz w:val="32"/>
          <w:szCs w:val="32"/>
        </w:rPr>
        <w:t>0</w:t>
      </w:r>
      <w:r>
        <w:rPr>
          <w:rFonts w:hint="eastAsia" w:ascii="仿宋_GB2312" w:eastAsia="仿宋_GB2312"/>
          <w:sz w:val="32"/>
          <w:szCs w:val="32"/>
        </w:rPr>
        <w:t>辆、一般执法执勤车辆</w:t>
      </w:r>
      <w:r>
        <w:rPr>
          <w:rFonts w:hint="eastAsia" w:ascii="Times New Roman" w:hAnsi="Times New Roman" w:eastAsia="仿宋_GB2312" w:cs="Times New Roman"/>
          <w:sz w:val="32"/>
          <w:szCs w:val="32"/>
        </w:rPr>
        <w:t>0</w:t>
      </w:r>
      <w:r>
        <w:rPr>
          <w:rFonts w:hint="eastAsia" w:ascii="仿宋_GB2312" w:eastAsia="仿宋_GB2312"/>
          <w:sz w:val="32"/>
          <w:szCs w:val="32"/>
        </w:rPr>
        <w:t>辆、特种专业技术用车</w:t>
      </w:r>
      <w:r>
        <w:rPr>
          <w:rFonts w:hint="eastAsia" w:ascii="Times New Roman" w:hAnsi="Times New Roman" w:eastAsia="仿宋_GB2312" w:cs="Times New Roman"/>
          <w:sz w:val="32"/>
          <w:szCs w:val="32"/>
        </w:rPr>
        <w:t>0</w:t>
      </w:r>
      <w:r>
        <w:rPr>
          <w:rFonts w:hint="eastAsia" w:ascii="仿宋_GB2312" w:eastAsia="仿宋_GB2312"/>
          <w:sz w:val="32"/>
          <w:szCs w:val="32"/>
        </w:rPr>
        <w:t>辆、其他用车</w:t>
      </w:r>
      <w:r>
        <w:rPr>
          <w:rFonts w:hint="eastAsia" w:ascii="Times New Roman" w:hAnsi="Times New Roman" w:eastAsia="仿宋_GB2312" w:cs="Times New Roman"/>
          <w:sz w:val="32"/>
          <w:szCs w:val="32"/>
        </w:rPr>
        <w:t>0</w:t>
      </w:r>
      <w:r>
        <w:rPr>
          <w:rFonts w:hint="eastAsia" w:ascii="仿宋_GB2312" w:eastAsia="仿宋_GB2312"/>
          <w:sz w:val="32"/>
          <w:szCs w:val="32"/>
        </w:rPr>
        <w:t>辆，其他用车主要是离退休干部用车</w:t>
      </w:r>
      <w:r>
        <w:rPr>
          <w:rFonts w:hint="eastAsia" w:ascii="Times New Roman" w:hAnsi="Times New Roman" w:eastAsia="仿宋_GB2312" w:cs="Times New Roman"/>
          <w:sz w:val="32"/>
          <w:szCs w:val="32"/>
        </w:rPr>
        <w:t>0辆</w:t>
      </w:r>
      <w:r>
        <w:rPr>
          <w:rFonts w:hint="eastAsia" w:ascii="仿宋_GB2312" w:eastAsia="仿宋_GB2312"/>
          <w:sz w:val="32"/>
          <w:szCs w:val="32"/>
        </w:rPr>
        <w:t>、应急保障车辆</w:t>
      </w:r>
      <w:r>
        <w:rPr>
          <w:rFonts w:hint="eastAsia" w:ascii="Times New Roman" w:hAnsi="Times New Roman" w:eastAsia="仿宋_GB2312" w:cs="Times New Roman"/>
          <w:sz w:val="32"/>
          <w:szCs w:val="32"/>
        </w:rPr>
        <w:t>0</w:t>
      </w:r>
      <w:r>
        <w:rPr>
          <w:rFonts w:hint="eastAsia" w:ascii="仿宋_GB2312" w:eastAsia="仿宋_GB2312"/>
          <w:sz w:val="32"/>
          <w:szCs w:val="32"/>
        </w:rPr>
        <w:t>辆。单价</w:t>
      </w:r>
      <w:r>
        <w:rPr>
          <w:rFonts w:hint="eastAsia" w:ascii="Times New Roman" w:hAnsi="Times New Roman" w:eastAsia="仿宋_GB2312" w:cs="Times New Roman"/>
          <w:sz w:val="32"/>
          <w:szCs w:val="32"/>
        </w:rPr>
        <w:t>50</w:t>
      </w:r>
      <w:r>
        <w:rPr>
          <w:rFonts w:hint="eastAsia" w:ascii="仿宋_GB2312" w:eastAsia="仿宋_GB2312"/>
          <w:sz w:val="32"/>
          <w:szCs w:val="32"/>
        </w:rPr>
        <w:t>万元以上通用设备</w:t>
      </w:r>
      <w:r>
        <w:rPr>
          <w:rFonts w:hint="eastAsia" w:ascii="Times New Roman" w:hAnsi="Times New Roman" w:eastAsia="仿宋_GB2312" w:cs="Times New Roman"/>
          <w:sz w:val="32"/>
          <w:szCs w:val="32"/>
        </w:rPr>
        <w:t>0</w:t>
      </w:r>
      <w:r>
        <w:rPr>
          <w:rFonts w:hint="eastAsia" w:ascii="仿宋_GB2312" w:eastAsia="仿宋_GB2312"/>
          <w:sz w:val="32"/>
          <w:szCs w:val="32"/>
        </w:rPr>
        <w:t>套，单位价值</w:t>
      </w:r>
      <w:r>
        <w:rPr>
          <w:rFonts w:hint="eastAsia" w:ascii="Times New Roman" w:hAnsi="Times New Roman" w:eastAsia="仿宋_GB2312" w:cs="Times New Roman"/>
          <w:sz w:val="32"/>
          <w:szCs w:val="32"/>
        </w:rPr>
        <w:t>100</w:t>
      </w:r>
      <w:r>
        <w:rPr>
          <w:rFonts w:hint="eastAsia" w:ascii="仿宋_GB2312" w:eastAsia="仿宋_GB2312"/>
          <w:sz w:val="32"/>
          <w:szCs w:val="32"/>
        </w:rPr>
        <w:t>万元以上专用设备</w:t>
      </w:r>
      <w:r>
        <w:rPr>
          <w:rFonts w:hint="eastAsia" w:ascii="Times New Roman" w:hAnsi="Times New Roman" w:eastAsia="仿宋_GB2312" w:cs="Times New Roman"/>
          <w:sz w:val="32"/>
          <w:szCs w:val="32"/>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我单位暂无负责的专项转移支付项目。</w:t>
      </w: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hAnsi="宋体" w:eastAsia="仿宋_GB2312"/>
          <w:sz w:val="32"/>
          <w:szCs w:val="32"/>
        </w:rPr>
      </w:pPr>
      <w:r>
        <w:rPr>
          <w:rFonts w:hint="eastAsia" w:ascii="仿宋_GB2312" w:hAnsi="宋体" w:eastAsia="仿宋_GB2312"/>
          <w:sz w:val="32"/>
          <w:szCs w:val="32"/>
        </w:rPr>
        <w:t>九、支出经济分类汇总表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方正超大字符集"/>
    <w:panose1 w:val="00000000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1" o:spid="_x0000_s204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hhNDRhYzRjYzE1NzMyZmE0NGFhZWZjNTExZDQ0ZTcifQ=="/>
  </w:docVars>
  <w:rsids>
    <w:rsidRoot w:val="00981828"/>
    <w:rsid w:val="008F662B"/>
    <w:rsid w:val="00937571"/>
    <w:rsid w:val="00981828"/>
    <w:rsid w:val="00DA161E"/>
    <w:rsid w:val="036F5A7F"/>
    <w:rsid w:val="18E6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6">
    <w:name w:val="批注框文本1"/>
    <w:basedOn w:val="1"/>
    <w:link w:val="7"/>
    <w:uiPriority w:val="0"/>
    <w:rPr>
      <w:sz w:val="18"/>
      <w:szCs w:val="18"/>
    </w:rPr>
  </w:style>
  <w:style w:type="character" w:customStyle="1" w:styleId="7">
    <w:name w:val="批注框文本 Char"/>
    <w:link w:val="6"/>
    <w:semiHidden/>
    <w:uiPriority w:val="0"/>
    <w:rPr>
      <w:sz w:val="18"/>
      <w:szCs w:val="18"/>
    </w:rPr>
  </w:style>
  <w:style w:type="character" w:customStyle="1" w:styleId="8">
    <w:name w:val="页脚 Char"/>
    <w:link w:val="2"/>
    <w:semiHidden/>
    <w:qFormat/>
    <w:uiPriority w:val="0"/>
    <w:rPr>
      <w:sz w:val="18"/>
      <w:szCs w:val="18"/>
    </w:rPr>
  </w:style>
  <w:style w:type="character" w:customStyle="1" w:styleId="9">
    <w:name w:val="页眉 Char"/>
    <w:link w:val="3"/>
    <w:semiHidden/>
    <w:qFormat/>
    <w:uiPriority w:val="0"/>
    <w:rPr>
      <w:sz w:val="18"/>
      <w:szCs w:val="18"/>
    </w:rPr>
  </w:style>
  <w:style w:type="paragraph" w:customStyle="1" w:styleId="10">
    <w:name w:val="列出段落1"/>
    <w:basedOn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2436</Words>
  <Characters>2627</Characters>
  <Lines>19</Lines>
  <Paragraphs>5</Paragraphs>
  <TotalTime>3</TotalTime>
  <ScaleCrop>false</ScaleCrop>
  <LinksUpToDate>false</LinksUpToDate>
  <CharactersWithSpaces>2637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2019-09-16T11:24:00Z</dcterms:created>
  <dc:creator>null,null,总收发</dc:creator>
  <cp:lastModifiedBy>孙云龙</cp:lastModifiedBy>
  <cp:lastPrinted>2022-08-28T08:40:00Z</cp:lastPrinted>
  <dcterms:modified xsi:type="dcterms:W3CDTF">2022-09-01T09:52:10Z</dcterms:modified>
  <dc:title>*^_^*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A817301B65F7458C99F645060A1A0E01</vt:lpwstr>
  </property>
</Properties>
</file>