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val="en-US" w:eastAsia="zh-CN"/>
        </w:rPr>
        <w:t>教育体育局</w:t>
      </w:r>
      <w:r>
        <w:rPr>
          <w:rFonts w:hint="eastAsia" w:ascii="方正小标宋简体" w:hAnsi="黑体" w:eastAsia="方正小标宋简体"/>
          <w:w w:val="90"/>
          <w:sz w:val="44"/>
          <w:szCs w:val="32"/>
        </w:rPr>
        <w:t>单位预算基本情况说明</w:t>
      </w:r>
    </w:p>
    <w:p>
      <w:pPr>
        <w:jc w:val="center"/>
        <w:rPr>
          <w:rFonts w:hint="default" w:asciiTheme="majorEastAsia" w:hAnsiTheme="majorEastAsia" w:eastAsiaTheme="majorEastAsia"/>
          <w:b/>
          <w:sz w:val="28"/>
          <w:szCs w:val="32"/>
          <w:lang w:val="en-US" w:eastAsia="zh-CN"/>
        </w:rPr>
      </w:pPr>
      <w:r>
        <w:rPr>
          <w:rFonts w:hint="eastAsia" w:asciiTheme="majorEastAsia" w:hAnsiTheme="majorEastAsia" w:eastAsiaTheme="majorEastAsia"/>
          <w:b/>
          <w:sz w:val="28"/>
          <w:szCs w:val="32"/>
          <w:lang w:val="en-US" w:eastAsia="zh-CN"/>
        </w:rPr>
        <w:t xml:space="preserve">       </w:t>
      </w: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val="en-US" w:eastAsia="zh-CN"/>
        </w:rPr>
        <w:t>教育体育局</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val="en-US" w:eastAsia="zh-CN"/>
        </w:rPr>
        <w:t>教育体育局</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val="en-US" w:eastAsia="zh-CN"/>
        </w:rPr>
        <w:t>教育体育局</w:t>
      </w:r>
      <w:r>
        <w:rPr>
          <w:rFonts w:hint="eastAsia" w:ascii="黑体" w:eastAsia="黑体" w:hAnsiTheme="majorEastAsia"/>
          <w:sz w:val="32"/>
          <w:szCs w:val="32"/>
        </w:rPr>
        <w:t>概况</w:t>
      </w:r>
    </w:p>
    <w:p>
      <w:pPr>
        <w:rPr>
          <w:rFonts w:ascii="仿宋_GB2312" w:eastAsia="仿宋_GB2312"/>
          <w:b/>
          <w:sz w:val="32"/>
          <w:szCs w:val="32"/>
        </w:rPr>
      </w:pPr>
    </w:p>
    <w:p>
      <w:pPr>
        <w:numPr>
          <w:ilvl w:val="0"/>
          <w:numId w:val="2"/>
        </w:numPr>
        <w:ind w:firstLine="566" w:firstLineChars="177"/>
        <w:rPr>
          <w:rFonts w:hint="eastAsia" w:ascii="黑体" w:eastAsia="黑体"/>
          <w:sz w:val="32"/>
          <w:szCs w:val="32"/>
        </w:rPr>
      </w:pPr>
      <w:r>
        <w:rPr>
          <w:rFonts w:hint="eastAsia" w:ascii="黑体" w:eastAsia="黑体"/>
          <w:sz w:val="32"/>
          <w:szCs w:val="32"/>
        </w:rPr>
        <w:t>主要职责</w:t>
      </w:r>
    </w:p>
    <w:p>
      <w:pPr>
        <w:ind w:firstLine="566" w:firstLineChars="177"/>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贯彻落实国家、省教育改革与发展的方针、政策和法律法规；负责</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理论研究和宣传工作</w:t>
      </w:r>
      <w:r>
        <w:rPr>
          <w:rFonts w:hint="eastAsia" w:ascii="仿宋_GB2312" w:eastAsia="仿宋_GB2312" w:cs="仿宋_GB2312"/>
          <w:color w:val="auto"/>
          <w:sz w:val="32"/>
          <w:szCs w:val="32"/>
          <w:highlight w:val="none"/>
          <w:lang w:eastAsia="zh-CN"/>
        </w:rPr>
        <w:t>。</w:t>
      </w:r>
    </w:p>
    <w:p>
      <w:pPr>
        <w:ind w:firstLine="566" w:firstLineChars="177"/>
        <w:rPr>
          <w:rFonts w:hint="default"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2.研究提出在全市教育系统坚持党的领导、加强党的建设政策性措施并组织实施；统筹全市教育工作的总体布单位并负责协调推进和督促落实。</w:t>
      </w:r>
    </w:p>
    <w:p>
      <w:pPr>
        <w:ind w:firstLine="566" w:firstLineChars="177"/>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负责全市各级各类</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的统筹规划和协调管理；制定全市</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改革发展战略和</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事业发展规划；指导各级各类学校的</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教学改革；负责全市</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基本信息的统计、分析和发布</w:t>
      </w:r>
      <w:r>
        <w:rPr>
          <w:rFonts w:hint="eastAsia" w:ascii="仿宋_GB2312" w:eastAsia="仿宋_GB2312" w:cs="仿宋_GB2312"/>
          <w:color w:val="auto"/>
          <w:sz w:val="32"/>
          <w:szCs w:val="32"/>
          <w:highlight w:val="none"/>
          <w:lang w:eastAsia="zh-CN"/>
        </w:rPr>
        <w:t>。</w:t>
      </w:r>
    </w:p>
    <w:p>
      <w:pPr>
        <w:ind w:firstLine="566" w:firstLineChars="177"/>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4.</w:t>
      </w:r>
      <w:r>
        <w:rPr>
          <w:rFonts w:hint="eastAsia" w:ascii="仿宋_GB2312" w:eastAsia="仿宋_GB2312" w:cs="仿宋_GB2312"/>
          <w:color w:val="auto"/>
          <w:sz w:val="32"/>
          <w:szCs w:val="32"/>
          <w:highlight w:val="none"/>
        </w:rPr>
        <w:t>负责本</w:t>
      </w:r>
      <w:r>
        <w:rPr>
          <w:rFonts w:hint="eastAsia" w:ascii="仿宋_GB2312" w:eastAsia="仿宋_GB2312" w:cs="仿宋_GB2312"/>
          <w:color w:val="auto"/>
          <w:sz w:val="32"/>
          <w:szCs w:val="32"/>
          <w:highlight w:val="none"/>
          <w:lang w:eastAsia="zh-CN"/>
        </w:rPr>
        <w:t>单位教育体育局</w:t>
      </w:r>
      <w:r>
        <w:rPr>
          <w:rFonts w:hint="eastAsia" w:ascii="仿宋_GB2312" w:eastAsia="仿宋_GB2312" w:cs="仿宋_GB2312"/>
          <w:color w:val="auto"/>
          <w:sz w:val="32"/>
          <w:szCs w:val="32"/>
          <w:highlight w:val="none"/>
        </w:rPr>
        <w:t>经费的统筹管理，参与拟订</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经费筹措、</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拨款、</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基建投资的政策；按有关规定管理国内外对我市的</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援助、</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贷款；负责统计全市</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经费投入情况和</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系统内部审计工作</w:t>
      </w:r>
      <w:r>
        <w:rPr>
          <w:rFonts w:hint="eastAsia" w:ascii="仿宋_GB2312" w:eastAsia="仿宋_GB2312" w:cs="仿宋_GB2312"/>
          <w:color w:val="auto"/>
          <w:sz w:val="32"/>
          <w:szCs w:val="32"/>
          <w:highlight w:val="none"/>
          <w:lang w:eastAsia="zh-CN"/>
        </w:rPr>
        <w:t>。</w:t>
      </w:r>
    </w:p>
    <w:p>
      <w:pPr>
        <w:ind w:firstLine="566" w:firstLineChars="177"/>
        <w:rPr>
          <w:rFonts w:hint="default"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负责推进义务教育均衡发展和促进教育公平，负责义务教育的指导与协调；指导普通高中教育、幼儿教育、特殊教育工作；落实基础教育教学基本要求，组织审定基础教育教学的地方性教材和补充教材</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读本</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，全面实施素质教育</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指导推进全市民办教育健康有序发展。</w:t>
      </w:r>
    </w:p>
    <w:p>
      <w:pPr>
        <w:ind w:firstLine="566" w:firstLineChars="177"/>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6.</w:t>
      </w:r>
      <w:r>
        <w:rPr>
          <w:rFonts w:hint="eastAsia" w:ascii="仿宋_GB2312" w:eastAsia="仿宋_GB2312" w:cs="仿宋_GB2312"/>
          <w:color w:val="auto"/>
          <w:sz w:val="32"/>
          <w:szCs w:val="32"/>
          <w:highlight w:val="none"/>
        </w:rPr>
        <w:t>指导以就业为导向的职业教育的发展与改革，落实</w:t>
      </w:r>
      <w:r>
        <w:rPr>
          <w:rFonts w:hint="eastAsia" w:ascii="仿宋_GB2312" w:eastAsia="仿宋_GB2312" w:cs="仿宋_GB2312"/>
          <w:color w:val="auto"/>
          <w:sz w:val="32"/>
          <w:szCs w:val="32"/>
          <w:highlight w:val="none"/>
          <w:lang w:eastAsia="zh-CN"/>
        </w:rPr>
        <w:t>单位</w:t>
      </w:r>
      <w:r>
        <w:rPr>
          <w:rFonts w:hint="eastAsia" w:ascii="仿宋_GB2312" w:eastAsia="仿宋_GB2312" w:cs="仿宋_GB2312"/>
          <w:color w:val="auto"/>
          <w:sz w:val="32"/>
          <w:szCs w:val="32"/>
          <w:highlight w:val="none"/>
        </w:rPr>
        <w:t>属中等职业教育专业目录和教学评估标准；负责职业教育指导工作</w:t>
      </w:r>
      <w:r>
        <w:rPr>
          <w:rFonts w:hint="eastAsia" w:ascii="仿宋_GB2312" w:eastAsia="仿宋_GB2312" w:cs="仿宋_GB2312"/>
          <w:color w:val="auto"/>
          <w:sz w:val="32"/>
          <w:szCs w:val="32"/>
          <w:highlight w:val="none"/>
          <w:lang w:eastAsia="zh-CN"/>
        </w:rPr>
        <w:t>。</w:t>
      </w:r>
    </w:p>
    <w:p>
      <w:pPr>
        <w:ind w:firstLine="566" w:firstLineChars="177"/>
        <w:rPr>
          <w:rFonts w:hint="default"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7.</w:t>
      </w:r>
      <w:r>
        <w:rPr>
          <w:rFonts w:hint="eastAsia" w:ascii="仿宋_GB2312" w:eastAsia="仿宋_GB2312" w:cs="仿宋_GB2312"/>
          <w:color w:val="auto"/>
          <w:sz w:val="32"/>
          <w:szCs w:val="32"/>
          <w:highlight w:val="none"/>
        </w:rPr>
        <w:t>指导全市教育督导工作，组织对中等</w:t>
      </w:r>
      <w:r>
        <w:rPr>
          <w:rFonts w:hint="eastAsia" w:ascii="仿宋_GB2312" w:eastAsia="仿宋_GB2312" w:cs="仿宋_GB2312"/>
          <w:color w:val="auto"/>
          <w:sz w:val="32"/>
          <w:szCs w:val="32"/>
          <w:highlight w:val="none"/>
          <w:lang w:val="en-US" w:eastAsia="zh-CN"/>
        </w:rPr>
        <w:t>及中等</w:t>
      </w:r>
      <w:r>
        <w:rPr>
          <w:rFonts w:hint="eastAsia" w:ascii="仿宋_GB2312" w:eastAsia="仿宋_GB2312" w:cs="仿宋_GB2312"/>
          <w:color w:val="auto"/>
          <w:sz w:val="32"/>
          <w:szCs w:val="32"/>
          <w:highlight w:val="none"/>
        </w:rPr>
        <w:t>以下教育、扫除青壮年文盲工作的督导检查和评估验收工作；负责基础教育发展水平、质量的监测工作</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指导全市教育类社会组织管理工作。</w:t>
      </w:r>
    </w:p>
    <w:p>
      <w:pPr>
        <w:ind w:firstLine="566" w:firstLineChars="177"/>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指导</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系统各级各类学校的思想政治、</w:t>
      </w:r>
      <w:r>
        <w:rPr>
          <w:rFonts w:hint="eastAsia" w:ascii="仿宋_GB2312" w:eastAsia="仿宋_GB2312" w:cs="仿宋_GB2312"/>
          <w:color w:val="auto"/>
          <w:sz w:val="32"/>
          <w:szCs w:val="32"/>
          <w:highlight w:val="none"/>
          <w:lang w:val="en-US" w:eastAsia="zh-CN"/>
        </w:rPr>
        <w:t>意识形态工作，指导各级各类学校的</w:t>
      </w:r>
      <w:r>
        <w:rPr>
          <w:rFonts w:hint="eastAsia" w:ascii="仿宋_GB2312" w:eastAsia="仿宋_GB2312" w:cs="仿宋_GB2312"/>
          <w:color w:val="auto"/>
          <w:sz w:val="32"/>
          <w:szCs w:val="32"/>
          <w:highlight w:val="none"/>
        </w:rPr>
        <w:t>德育、体育</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卫生</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艺术教育、</w:t>
      </w:r>
      <w:r>
        <w:rPr>
          <w:rFonts w:hint="eastAsia" w:ascii="仿宋_GB2312" w:eastAsia="仿宋_GB2312" w:cs="仿宋_GB2312"/>
          <w:color w:val="auto"/>
          <w:sz w:val="32"/>
          <w:szCs w:val="32"/>
          <w:highlight w:val="none"/>
          <w:lang w:val="en-US" w:eastAsia="zh-CN"/>
        </w:rPr>
        <w:t>劳动教育及</w:t>
      </w:r>
      <w:r>
        <w:rPr>
          <w:rFonts w:hint="eastAsia" w:ascii="仿宋_GB2312" w:eastAsia="仿宋_GB2312" w:cs="仿宋_GB2312"/>
          <w:color w:val="auto"/>
          <w:sz w:val="32"/>
          <w:szCs w:val="32"/>
          <w:highlight w:val="none"/>
        </w:rPr>
        <w:t>国防教育</w:t>
      </w:r>
      <w:r>
        <w:rPr>
          <w:rFonts w:hint="eastAsia" w:ascii="仿宋_GB2312" w:eastAsia="仿宋_GB2312" w:cs="仿宋_GB2312"/>
          <w:color w:val="auto"/>
          <w:sz w:val="32"/>
          <w:szCs w:val="32"/>
          <w:highlight w:val="none"/>
          <w:lang w:val="en-US" w:eastAsia="zh-CN"/>
        </w:rPr>
        <w:t>工作；指导全市教育系统落实好党的民族宗教政策；负责教育系统</w:t>
      </w:r>
      <w:r>
        <w:rPr>
          <w:rFonts w:hint="eastAsia" w:ascii="仿宋_GB2312" w:eastAsia="仿宋_GB2312" w:cs="仿宋_GB2312"/>
          <w:color w:val="auto"/>
          <w:sz w:val="32"/>
          <w:szCs w:val="32"/>
          <w:highlight w:val="none"/>
        </w:rPr>
        <w:t>安全稳定</w:t>
      </w:r>
      <w:r>
        <w:rPr>
          <w:rFonts w:hint="eastAsia" w:ascii="仿宋_GB2312" w:eastAsia="仿宋_GB2312" w:cs="仿宋_GB2312"/>
          <w:color w:val="auto"/>
          <w:sz w:val="32"/>
          <w:szCs w:val="32"/>
          <w:highlight w:val="none"/>
          <w:lang w:val="en-US" w:eastAsia="zh-CN"/>
        </w:rPr>
        <w:t>与信访</w:t>
      </w:r>
      <w:r>
        <w:rPr>
          <w:rFonts w:hint="eastAsia" w:ascii="仿宋_GB2312" w:eastAsia="仿宋_GB2312" w:cs="仿宋_GB2312"/>
          <w:color w:val="auto"/>
          <w:sz w:val="32"/>
          <w:szCs w:val="32"/>
          <w:highlight w:val="none"/>
        </w:rPr>
        <w:t>工作</w:t>
      </w:r>
      <w:r>
        <w:rPr>
          <w:rFonts w:hint="eastAsia" w:ascii="仿宋_GB2312" w:eastAsia="仿宋_GB2312" w:cs="仿宋_GB2312"/>
          <w:color w:val="auto"/>
          <w:sz w:val="32"/>
          <w:szCs w:val="32"/>
          <w:highlight w:val="none"/>
          <w:lang w:eastAsia="zh-CN"/>
        </w:rPr>
        <w:t>。</w:t>
      </w:r>
    </w:p>
    <w:p>
      <w:pPr>
        <w:ind w:firstLine="566" w:firstLineChars="177"/>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主管全市教师工作。负责全市中等</w:t>
      </w:r>
      <w:r>
        <w:rPr>
          <w:rFonts w:hint="eastAsia" w:ascii="仿宋_GB2312" w:eastAsia="仿宋_GB2312" w:cs="仿宋_GB2312"/>
          <w:color w:val="auto"/>
          <w:sz w:val="32"/>
          <w:szCs w:val="32"/>
          <w:highlight w:val="none"/>
          <w:lang w:val="en-US" w:eastAsia="zh-CN"/>
        </w:rPr>
        <w:t>及中等</w:t>
      </w:r>
      <w:r>
        <w:rPr>
          <w:rFonts w:hint="eastAsia" w:ascii="仿宋_GB2312" w:eastAsia="仿宋_GB2312" w:cs="仿宋_GB2312"/>
          <w:color w:val="auto"/>
          <w:sz w:val="32"/>
          <w:szCs w:val="32"/>
          <w:highlight w:val="none"/>
        </w:rPr>
        <w:t>以下</w:t>
      </w:r>
      <w:r>
        <w:rPr>
          <w:rFonts w:hint="eastAsia" w:ascii="仿宋_GB2312" w:eastAsia="仿宋_GB2312" w:cs="仿宋_GB2312"/>
          <w:color w:val="auto"/>
          <w:sz w:val="32"/>
          <w:szCs w:val="32"/>
          <w:highlight w:val="none"/>
          <w:lang w:val="en-US" w:eastAsia="zh-CN"/>
        </w:rPr>
        <w:t>学校</w:t>
      </w:r>
      <w:r>
        <w:rPr>
          <w:rFonts w:hint="eastAsia" w:ascii="仿宋_GB2312" w:eastAsia="仿宋_GB2312" w:cs="仿宋_GB2312"/>
          <w:color w:val="auto"/>
          <w:sz w:val="32"/>
          <w:szCs w:val="32"/>
          <w:highlight w:val="none"/>
        </w:rPr>
        <w:t>教师资格认定；负责教育系统的表彰奖励；归口管理教师和教育管理人员继续教育；指导各级各类学校内部人事与分配制度改革</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指导教育系统人才队伍建设</w:t>
      </w:r>
      <w:r>
        <w:rPr>
          <w:rFonts w:hint="eastAsia" w:ascii="仿宋_GB2312" w:eastAsia="仿宋_GB2312" w:cs="仿宋_GB2312"/>
          <w:color w:val="auto"/>
          <w:sz w:val="32"/>
          <w:szCs w:val="32"/>
          <w:highlight w:val="none"/>
          <w:lang w:eastAsia="zh-CN"/>
        </w:rPr>
        <w:t>。</w:t>
      </w:r>
    </w:p>
    <w:p>
      <w:pPr>
        <w:ind w:firstLine="566" w:firstLineChars="177"/>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10.</w:t>
      </w:r>
      <w:r>
        <w:rPr>
          <w:rFonts w:hint="eastAsia" w:ascii="仿宋_GB2312" w:eastAsia="仿宋_GB2312" w:cs="仿宋_GB2312"/>
          <w:color w:val="auto"/>
          <w:sz w:val="32"/>
          <w:szCs w:val="32"/>
          <w:highlight w:val="none"/>
        </w:rPr>
        <w:t>制定</w:t>
      </w:r>
      <w:r>
        <w:rPr>
          <w:rFonts w:hint="eastAsia" w:ascii="仿宋_GB2312" w:eastAsia="仿宋_GB2312" w:cs="仿宋_GB2312"/>
          <w:color w:val="auto"/>
          <w:sz w:val="32"/>
          <w:szCs w:val="32"/>
          <w:highlight w:val="none"/>
          <w:lang w:val="en-US" w:eastAsia="zh-CN"/>
        </w:rPr>
        <w:t>市</w:t>
      </w:r>
      <w:r>
        <w:rPr>
          <w:rFonts w:hint="eastAsia" w:ascii="仿宋_GB2312" w:eastAsia="仿宋_GB2312" w:cs="仿宋_GB2312"/>
          <w:color w:val="auto"/>
          <w:sz w:val="32"/>
          <w:szCs w:val="32"/>
          <w:highlight w:val="none"/>
        </w:rPr>
        <w:t>属高中招生计划，落实各类高等学历教育招生考试政策</w:t>
      </w:r>
      <w:r>
        <w:rPr>
          <w:rFonts w:hint="eastAsia" w:ascii="仿宋_GB2312" w:eastAsia="仿宋_GB2312" w:cs="仿宋_GB2312"/>
          <w:color w:val="auto"/>
          <w:sz w:val="32"/>
          <w:szCs w:val="32"/>
          <w:highlight w:val="none"/>
          <w:lang w:eastAsia="zh-CN"/>
        </w:rPr>
        <w:t>。</w:t>
      </w:r>
    </w:p>
    <w:p>
      <w:pPr>
        <w:ind w:firstLine="566" w:firstLineChars="177"/>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11.</w:t>
      </w:r>
      <w:r>
        <w:rPr>
          <w:rFonts w:hint="eastAsia" w:ascii="仿宋_GB2312" w:eastAsia="仿宋_GB2312" w:cs="仿宋_GB2312"/>
          <w:color w:val="auto"/>
          <w:sz w:val="32"/>
          <w:szCs w:val="32"/>
          <w:highlight w:val="none"/>
        </w:rPr>
        <w:t>负责管理</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系统的科研工作；负责</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系统信息化建设；组织指导</w:t>
      </w:r>
      <w:r>
        <w:rPr>
          <w:rFonts w:hint="eastAsia" w:ascii="仿宋_GB2312" w:eastAsia="仿宋_GB2312" w:cs="仿宋_GB2312"/>
          <w:color w:val="auto"/>
          <w:sz w:val="32"/>
          <w:szCs w:val="32"/>
          <w:highlight w:val="none"/>
          <w:lang w:eastAsia="zh-CN"/>
        </w:rPr>
        <w:t>教育体育局</w:t>
      </w:r>
      <w:r>
        <w:rPr>
          <w:rFonts w:hint="eastAsia" w:ascii="仿宋_GB2312" w:eastAsia="仿宋_GB2312" w:cs="仿宋_GB2312"/>
          <w:color w:val="auto"/>
          <w:sz w:val="32"/>
          <w:szCs w:val="32"/>
          <w:highlight w:val="none"/>
        </w:rPr>
        <w:t>方面的对外交流与合作</w:t>
      </w:r>
      <w:r>
        <w:rPr>
          <w:rFonts w:hint="eastAsia" w:ascii="仿宋_GB2312" w:eastAsia="仿宋_GB2312" w:cs="仿宋_GB2312"/>
          <w:color w:val="auto"/>
          <w:sz w:val="32"/>
          <w:szCs w:val="32"/>
          <w:highlight w:val="none"/>
          <w:lang w:eastAsia="zh-CN"/>
        </w:rPr>
        <w:t>。</w:t>
      </w:r>
    </w:p>
    <w:p>
      <w:pPr>
        <w:ind w:firstLine="640" w:firstLineChars="200"/>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12.</w:t>
      </w:r>
      <w:r>
        <w:rPr>
          <w:rFonts w:hint="eastAsia" w:ascii="仿宋_GB2312" w:eastAsia="仿宋_GB2312" w:cs="仿宋_GB2312"/>
          <w:color w:val="auto"/>
          <w:sz w:val="32"/>
          <w:szCs w:val="32"/>
          <w:highlight w:val="none"/>
        </w:rPr>
        <w:t>落实国家语言文字工作的方针、政策，制定语言文字工作规划；负责普通话推广工作和普通话师资培训工作</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 xml:space="preserve">  </w:t>
      </w:r>
    </w:p>
    <w:p>
      <w:pPr>
        <w:ind w:firstLine="640" w:firstLineChars="200"/>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13.制定并组织实施全市体育事业发展规划，推进全市体育公共服务和体育体制改革，促进多元化体育服务体系建设</w:t>
      </w:r>
      <w:r>
        <w:rPr>
          <w:rFonts w:hint="eastAsia" w:ascii="仿宋_GB2312" w:eastAsia="仿宋_GB2312" w:cs="仿宋_GB2312"/>
          <w:color w:val="auto"/>
          <w:sz w:val="32"/>
          <w:szCs w:val="32"/>
          <w:highlight w:val="none"/>
          <w:lang w:eastAsia="zh-CN"/>
        </w:rPr>
        <w:t>。</w:t>
      </w:r>
    </w:p>
    <w:p>
      <w:pPr>
        <w:ind w:firstLine="640" w:firstLineChars="200"/>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14.统筹规划全市竞技体育发展和体育运动项目设置与重点布单位，负责市运动队伍建设和体育后备人才培养，协调运动员的社会保障工作，组织开展体育运动中的反兴奋剂工作</w:t>
      </w:r>
      <w:r>
        <w:rPr>
          <w:rFonts w:hint="eastAsia" w:ascii="仿宋_GB2312" w:eastAsia="仿宋_GB2312" w:cs="仿宋_GB2312"/>
          <w:color w:val="auto"/>
          <w:sz w:val="32"/>
          <w:szCs w:val="32"/>
          <w:highlight w:val="none"/>
          <w:lang w:eastAsia="zh-CN"/>
        </w:rPr>
        <w:t>。</w:t>
      </w:r>
    </w:p>
    <w:p>
      <w:pPr>
        <w:ind w:firstLine="640" w:firstLineChars="200"/>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15.组织举办全市综合性运动会，统筹规划全市青少年体育发展，指导和推进青少年体育共工作。</w:t>
      </w:r>
    </w:p>
    <w:p>
      <w:pPr>
        <w:ind w:firstLine="640" w:firstLineChars="200"/>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16.推行全民健身计划，指导开展群众性体育活动，实施国家体育锻炼标准，开展国民体质监测，指导公共体育设施建设，负责公共体育设施的监督管理。</w:t>
      </w:r>
    </w:p>
    <w:p>
      <w:pPr>
        <w:ind w:firstLine="640" w:firstLineChars="200"/>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17.贯彻体育产业政策，推进全市体育产业发展，推动体育标准化建设，负责体育彩票的发行管理。</w:t>
      </w:r>
    </w:p>
    <w:p>
      <w:pPr>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lang w:val="en-US" w:eastAsia="zh-CN"/>
        </w:rPr>
        <w:t>18.完成市委、</w:t>
      </w:r>
      <w:r>
        <w:rPr>
          <w:rFonts w:hint="eastAsia" w:ascii="仿宋_GB2312" w:eastAsia="仿宋_GB2312" w:cs="仿宋_GB2312"/>
          <w:color w:val="auto"/>
          <w:sz w:val="32"/>
          <w:szCs w:val="32"/>
          <w:highlight w:val="none"/>
        </w:rPr>
        <w:t>市政府交办的其他</w:t>
      </w:r>
      <w:r>
        <w:rPr>
          <w:rFonts w:hint="eastAsia" w:ascii="仿宋_GB2312" w:eastAsia="仿宋_GB2312" w:cs="仿宋_GB2312"/>
          <w:color w:val="auto"/>
          <w:sz w:val="32"/>
          <w:szCs w:val="32"/>
          <w:highlight w:val="none"/>
          <w:lang w:val="en-US" w:eastAsia="zh-CN"/>
        </w:rPr>
        <w:t>任务</w:t>
      </w:r>
      <w:r>
        <w:rPr>
          <w:rFonts w:hint="eastAsia" w:ascii="仿宋_GB2312" w:eastAsia="仿宋_GB2312" w:cs="仿宋_GB2312"/>
          <w:color w:val="auto"/>
          <w:sz w:val="32"/>
          <w:szCs w:val="32"/>
          <w:highlight w:val="none"/>
        </w:rPr>
        <w:t>。</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邓州市教育体育局内设机构11个：包括：办公室（信访科）、财务审计科（发规科）、基础教育科、职业教育与成人教育科、行政审批服务科（政策法规科）、教师工作科、体育卫生艺术教育科、安全管理科、人事科、党建工作办公室、离退休干部工作科。</w:t>
      </w: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color w:val="auto"/>
          <w:sz w:val="32"/>
          <w:szCs w:val="32"/>
          <w:highlight w:val="none"/>
        </w:rPr>
        <w:t>邓州市</w:t>
      </w:r>
      <w:r>
        <w:rPr>
          <w:rFonts w:hint="eastAsia" w:ascii="黑体" w:hAnsi="宋体" w:eastAsia="黑体"/>
          <w:color w:val="auto"/>
          <w:sz w:val="32"/>
          <w:szCs w:val="32"/>
          <w:highlight w:val="none"/>
          <w:lang w:eastAsia="zh-CN"/>
        </w:rPr>
        <w:t>教育体育局</w:t>
      </w:r>
      <w:r>
        <w:rPr>
          <w:rFonts w:hint="eastAsia" w:ascii="黑体" w:eastAsia="黑体" w:hAnsiTheme="majorEastAsia"/>
          <w:sz w:val="32"/>
          <w:szCs w:val="32"/>
        </w:rPr>
        <w:t>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年收入总计139378.48万元，支出总计139378.48万元，与2020年相比，收入、支出各增长7273.59万元。主要原因是：财政拨款</w:t>
      </w:r>
      <w:r>
        <w:rPr>
          <w:rFonts w:hint="eastAsia" w:ascii="仿宋_GB2312" w:eastAsia="仿宋_GB2312"/>
          <w:sz w:val="32"/>
          <w:szCs w:val="32"/>
          <w:lang w:val="en-US" w:eastAsia="zh-CN"/>
        </w:rPr>
        <w:t>增长</w:t>
      </w:r>
      <w:r>
        <w:rPr>
          <w:rFonts w:hint="eastAsia" w:ascii="仿宋_GB2312" w:eastAsia="仿宋_GB2312"/>
          <w:sz w:val="32"/>
          <w:szCs w:val="32"/>
        </w:rPr>
        <w:t xml:space="preserve"> 2211.42</w:t>
      </w:r>
      <w:r>
        <w:rPr>
          <w:rFonts w:hint="eastAsia" w:ascii="仿宋_GB2312" w:eastAsia="仿宋_GB2312"/>
          <w:sz w:val="32"/>
          <w:szCs w:val="32"/>
          <w:lang w:val="en-US" w:eastAsia="zh-CN"/>
        </w:rPr>
        <w:t>万元，</w:t>
      </w:r>
      <w:r>
        <w:rPr>
          <w:rFonts w:hint="eastAsia" w:ascii="仿宋_GB2312" w:eastAsia="仿宋_GB2312"/>
          <w:sz w:val="32"/>
          <w:szCs w:val="32"/>
        </w:rPr>
        <w:t>收费安排</w:t>
      </w:r>
      <w:r>
        <w:rPr>
          <w:rFonts w:hint="eastAsia" w:ascii="仿宋_GB2312" w:eastAsia="仿宋_GB2312"/>
          <w:sz w:val="32"/>
          <w:szCs w:val="32"/>
          <w:lang w:val="en-US" w:eastAsia="zh-CN"/>
        </w:rPr>
        <w:t>增长1494.67</w:t>
      </w:r>
      <w:r>
        <w:rPr>
          <w:rFonts w:hint="eastAsia" w:ascii="仿宋_GB2312" w:eastAsia="仿宋_GB2312"/>
          <w:sz w:val="32"/>
          <w:szCs w:val="32"/>
        </w:rPr>
        <w:t>万元，专项收入</w:t>
      </w:r>
      <w:r>
        <w:rPr>
          <w:rFonts w:hint="eastAsia" w:ascii="仿宋_GB2312" w:eastAsia="仿宋_GB2312"/>
          <w:sz w:val="32"/>
          <w:szCs w:val="32"/>
          <w:lang w:val="en-US" w:eastAsia="zh-CN"/>
        </w:rPr>
        <w:t>增长1024万元，</w:t>
      </w:r>
      <w:r>
        <w:rPr>
          <w:rFonts w:hint="eastAsia" w:ascii="仿宋_GB2312" w:eastAsia="仿宋_GB2312"/>
          <w:sz w:val="32"/>
          <w:szCs w:val="32"/>
        </w:rPr>
        <w:t>国有资本收益</w:t>
      </w:r>
      <w:r>
        <w:rPr>
          <w:rFonts w:hint="eastAsia" w:ascii="仿宋_GB2312" w:eastAsia="仿宋_GB2312"/>
          <w:sz w:val="32"/>
          <w:szCs w:val="32"/>
          <w:lang w:val="en-US" w:eastAsia="zh-CN"/>
        </w:rPr>
        <w:t>增长21</w:t>
      </w:r>
      <w:r>
        <w:rPr>
          <w:rFonts w:hint="eastAsia" w:ascii="仿宋_GB2312" w:eastAsia="仿宋_GB2312"/>
          <w:sz w:val="32"/>
          <w:szCs w:val="32"/>
        </w:rPr>
        <w:t>万元，债券转贷</w:t>
      </w:r>
      <w:r>
        <w:rPr>
          <w:rFonts w:hint="eastAsia" w:ascii="仿宋_GB2312" w:eastAsia="仿宋_GB2312"/>
          <w:sz w:val="32"/>
          <w:szCs w:val="32"/>
          <w:lang w:val="en-US" w:eastAsia="zh-CN"/>
        </w:rPr>
        <w:t>减少</w:t>
      </w:r>
      <w:r>
        <w:rPr>
          <w:rFonts w:hint="eastAsia" w:ascii="仿宋_GB2312" w:eastAsia="仿宋_GB2312"/>
          <w:sz w:val="32"/>
          <w:szCs w:val="32"/>
        </w:rPr>
        <w:t>1024万元，提前下达转移支付增加</w:t>
      </w:r>
      <w:r>
        <w:rPr>
          <w:rFonts w:hint="eastAsia" w:ascii="仿宋_GB2312" w:eastAsia="仿宋_GB2312"/>
          <w:sz w:val="32"/>
          <w:szCs w:val="32"/>
          <w:lang w:val="en-US" w:eastAsia="zh-CN"/>
        </w:rPr>
        <w:t>3546.50</w:t>
      </w:r>
      <w:r>
        <w:rPr>
          <w:rFonts w:hint="eastAsia" w:ascii="仿宋_GB2312" w:eastAsia="仿宋_GB2312"/>
          <w:sz w:val="32"/>
          <w:szCs w:val="32"/>
        </w:rPr>
        <w:t xml:space="preserve">万元。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2021年收入预算139378.48万元，其中：</w:t>
      </w:r>
      <w:r>
        <w:rPr>
          <w:rFonts w:hint="eastAsia" w:eastAsia="仿宋_GB2312"/>
          <w:sz w:val="32"/>
          <w:szCs w:val="32"/>
        </w:rPr>
        <w:t>一般公共预算收入</w:t>
      </w:r>
      <w:r>
        <w:rPr>
          <w:rFonts w:hint="eastAsia" w:ascii="仿宋_GB2312" w:eastAsia="仿宋_GB2312"/>
          <w:sz w:val="32"/>
          <w:szCs w:val="32"/>
          <w:lang w:val="en-US" w:eastAsia="zh-CN"/>
        </w:rPr>
        <w:t>139378.48</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w:t>
      </w:r>
      <w:r>
        <w:rPr>
          <w:rFonts w:hint="eastAsia" w:ascii="仿宋_GB2312" w:eastAsia="仿宋_GB2312"/>
          <w:sz w:val="32"/>
          <w:szCs w:val="32"/>
          <w:highlight w:val="none"/>
        </w:rPr>
        <w:t xml:space="preserve">元。  </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2021年支出预算139378.48万元，其中：基本支出88095.06万元，占年度计划的</w:t>
      </w:r>
      <w:r>
        <w:rPr>
          <w:rFonts w:hint="eastAsia" w:ascii="仿宋_GB2312" w:eastAsia="仿宋_GB2312"/>
          <w:sz w:val="32"/>
          <w:szCs w:val="32"/>
          <w:lang w:val="en-US" w:eastAsia="zh-CN"/>
        </w:rPr>
        <w:t>63.21</w:t>
      </w:r>
      <w:r>
        <w:rPr>
          <w:rFonts w:hint="eastAsia" w:ascii="仿宋_GB2312" w:eastAsia="仿宋_GB2312"/>
          <w:sz w:val="32"/>
          <w:szCs w:val="32"/>
        </w:rPr>
        <w:t>%；项目支出51283.42 万元，占年度计划的</w:t>
      </w:r>
      <w:r>
        <w:rPr>
          <w:rFonts w:hint="eastAsia" w:ascii="仿宋_GB2312" w:eastAsia="仿宋_GB2312"/>
          <w:sz w:val="32"/>
          <w:szCs w:val="32"/>
          <w:lang w:val="en-US" w:eastAsia="zh-CN"/>
        </w:rPr>
        <w:t>36.79</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2021年一般公共预算收支预算139378.48万元，政府性基金收支预算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万元，与2020年相比，收入支出增长7273.59万元。主要原因是：财政拨款</w:t>
      </w:r>
      <w:r>
        <w:rPr>
          <w:rFonts w:hint="eastAsia" w:ascii="仿宋_GB2312" w:eastAsia="仿宋_GB2312"/>
          <w:sz w:val="32"/>
          <w:szCs w:val="32"/>
          <w:lang w:val="en-US" w:eastAsia="zh-CN"/>
        </w:rPr>
        <w:t>增长</w:t>
      </w:r>
      <w:r>
        <w:rPr>
          <w:rFonts w:hint="eastAsia" w:ascii="仿宋_GB2312" w:eastAsia="仿宋_GB2312"/>
          <w:sz w:val="32"/>
          <w:szCs w:val="32"/>
        </w:rPr>
        <w:t xml:space="preserve"> 2211.42</w:t>
      </w:r>
      <w:r>
        <w:rPr>
          <w:rFonts w:hint="eastAsia" w:ascii="仿宋_GB2312" w:eastAsia="仿宋_GB2312"/>
          <w:sz w:val="32"/>
          <w:szCs w:val="32"/>
          <w:lang w:val="en-US" w:eastAsia="zh-CN"/>
        </w:rPr>
        <w:t>万元，</w:t>
      </w:r>
      <w:r>
        <w:rPr>
          <w:rFonts w:hint="eastAsia" w:ascii="仿宋_GB2312" w:eastAsia="仿宋_GB2312"/>
          <w:sz w:val="32"/>
          <w:szCs w:val="32"/>
        </w:rPr>
        <w:t>收费安排</w:t>
      </w:r>
      <w:r>
        <w:rPr>
          <w:rFonts w:hint="eastAsia" w:ascii="仿宋_GB2312" w:eastAsia="仿宋_GB2312"/>
          <w:sz w:val="32"/>
          <w:szCs w:val="32"/>
          <w:lang w:val="en-US" w:eastAsia="zh-CN"/>
        </w:rPr>
        <w:t>增长1494.67</w:t>
      </w:r>
      <w:r>
        <w:rPr>
          <w:rFonts w:hint="eastAsia" w:ascii="仿宋_GB2312" w:eastAsia="仿宋_GB2312"/>
          <w:sz w:val="32"/>
          <w:szCs w:val="32"/>
        </w:rPr>
        <w:t>万元，专项收入</w:t>
      </w:r>
      <w:r>
        <w:rPr>
          <w:rFonts w:hint="eastAsia" w:ascii="仿宋_GB2312" w:eastAsia="仿宋_GB2312"/>
          <w:sz w:val="32"/>
          <w:szCs w:val="32"/>
          <w:lang w:val="en-US" w:eastAsia="zh-CN"/>
        </w:rPr>
        <w:t>增长1024万元，</w:t>
      </w:r>
      <w:r>
        <w:rPr>
          <w:rFonts w:hint="eastAsia" w:ascii="仿宋_GB2312" w:eastAsia="仿宋_GB2312"/>
          <w:sz w:val="32"/>
          <w:szCs w:val="32"/>
        </w:rPr>
        <w:t>国有资本收益</w:t>
      </w:r>
      <w:r>
        <w:rPr>
          <w:rFonts w:hint="eastAsia" w:ascii="仿宋_GB2312" w:eastAsia="仿宋_GB2312"/>
          <w:sz w:val="32"/>
          <w:szCs w:val="32"/>
          <w:lang w:val="en-US" w:eastAsia="zh-CN"/>
        </w:rPr>
        <w:t>增长21</w:t>
      </w:r>
      <w:r>
        <w:rPr>
          <w:rFonts w:hint="eastAsia" w:ascii="仿宋_GB2312" w:eastAsia="仿宋_GB2312"/>
          <w:sz w:val="32"/>
          <w:szCs w:val="32"/>
        </w:rPr>
        <w:t>万元，债券转贷</w:t>
      </w:r>
      <w:r>
        <w:rPr>
          <w:rFonts w:hint="eastAsia" w:ascii="仿宋_GB2312" w:eastAsia="仿宋_GB2312"/>
          <w:sz w:val="32"/>
          <w:szCs w:val="32"/>
          <w:lang w:val="en-US" w:eastAsia="zh-CN"/>
        </w:rPr>
        <w:t>减少</w:t>
      </w:r>
      <w:r>
        <w:rPr>
          <w:rFonts w:hint="eastAsia" w:ascii="仿宋_GB2312" w:eastAsia="仿宋_GB2312"/>
          <w:sz w:val="32"/>
          <w:szCs w:val="32"/>
        </w:rPr>
        <w:t>1024万元，提前下达转移支付增加</w:t>
      </w:r>
      <w:r>
        <w:rPr>
          <w:rFonts w:hint="eastAsia" w:ascii="仿宋_GB2312" w:eastAsia="仿宋_GB2312"/>
          <w:sz w:val="32"/>
          <w:szCs w:val="32"/>
          <w:lang w:val="en-US" w:eastAsia="zh-CN"/>
        </w:rPr>
        <w:t>3546.50</w:t>
      </w:r>
      <w:r>
        <w:rPr>
          <w:rFonts w:hint="eastAsia" w:ascii="仿宋_GB2312" w:eastAsia="仿宋_GB2312"/>
          <w:sz w:val="32"/>
          <w:szCs w:val="32"/>
        </w:rPr>
        <w:t xml:space="preserve">万元。        </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102836.38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基本支出88095.06万元，占</w:t>
      </w:r>
      <w:r>
        <w:rPr>
          <w:rFonts w:hint="eastAsia" w:ascii="Times New Roman" w:hAnsi="Times New Roman" w:eastAsia="仿宋_GB2312" w:cs="Times New Roman"/>
          <w:sz w:val="32"/>
          <w:szCs w:val="32"/>
          <w:lang w:val="en-US" w:eastAsia="zh-CN"/>
        </w:rPr>
        <w:t>85.67</w:t>
      </w:r>
      <w:r>
        <w:rPr>
          <w:rFonts w:hint="eastAsia" w:ascii="Times New Roman" w:hAnsi="Times New Roman" w:eastAsia="仿宋_GB2312" w:cs="Times New Roman"/>
          <w:sz w:val="32"/>
          <w:szCs w:val="32"/>
        </w:rPr>
        <w:t>%；项目支出14741.32万元，占</w:t>
      </w:r>
      <w:r>
        <w:rPr>
          <w:rFonts w:hint="eastAsia" w:ascii="Times New Roman" w:hAnsi="Times New Roman" w:eastAsia="仿宋_GB2312" w:cs="Times New Roman"/>
          <w:sz w:val="32"/>
          <w:szCs w:val="32"/>
          <w:lang w:val="en-US" w:eastAsia="zh-CN"/>
        </w:rPr>
        <w:t>14.33</w:t>
      </w:r>
      <w:r>
        <w:rPr>
          <w:rFonts w:hint="eastAsia" w:ascii="Times New Roman" w:hAnsi="Times New Roman" w:eastAsia="仿宋_GB2312" w:cs="Times New Roman"/>
          <w:sz w:val="32"/>
          <w:szCs w:val="32"/>
        </w:rPr>
        <w:t>%。</w:t>
      </w:r>
    </w:p>
    <w:p>
      <w:pPr>
        <w:numPr>
          <w:ilvl w:val="0"/>
          <w:numId w:val="0"/>
        </w:numPr>
        <w:ind w:firstLine="640" w:firstLineChars="200"/>
        <w:rPr>
          <w:rFonts w:hint="eastAsia" w:ascii="Times New Roman" w:hAnsi="Times New Roman" w:eastAsia="仿宋_GB2312" w:cs="Times New Roman"/>
          <w:b/>
          <w:bCs/>
          <w:color w:val="auto"/>
          <w:sz w:val="32"/>
          <w:szCs w:val="32"/>
          <w:highlight w:val="none"/>
          <w:lang w:val="en-US" w:eastAsia="zh-CN"/>
        </w:rPr>
      </w:pPr>
      <w:r>
        <w:rPr>
          <w:rFonts w:hint="eastAsia" w:ascii="黑体" w:hAnsi="黑体" w:eastAsia="黑体" w:cs="Times New Roman"/>
          <w:sz w:val="32"/>
          <w:szCs w:val="32"/>
          <w:lang w:val="en-US" w:eastAsia="zh-CN"/>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 xml:space="preserve">88095.06 </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人员经费支出88036.16万元，占</w:t>
      </w:r>
      <w:r>
        <w:rPr>
          <w:rFonts w:hint="eastAsia" w:ascii="Times New Roman" w:hAnsi="Times New Roman" w:eastAsia="仿宋_GB2312" w:cs="Times New Roman"/>
          <w:sz w:val="32"/>
          <w:szCs w:val="32"/>
          <w:lang w:val="en-US" w:eastAsia="zh-CN"/>
        </w:rPr>
        <w:t>99.93</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58.9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0.07</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w:t>
      </w:r>
      <w:r>
        <w:rPr>
          <w:rFonts w:hint="eastAsia" w:ascii="Times New Roman" w:hAnsi="Times New Roman" w:eastAsia="黑体" w:cs="黑体"/>
          <w:kern w:val="0"/>
          <w:sz w:val="32"/>
          <w:szCs w:val="32"/>
          <w:lang w:bidi="ar"/>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2021年“三公”经费预算为215.40万元。比2020年减少</w:t>
      </w:r>
      <w:r>
        <w:rPr>
          <w:rFonts w:hint="eastAsia" w:ascii="仿宋_GB2312" w:eastAsia="仿宋_GB2312"/>
          <w:sz w:val="32"/>
          <w:szCs w:val="32"/>
          <w:lang w:val="en-US" w:eastAsia="zh-CN"/>
        </w:rPr>
        <w:t>95.25</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widowControl w:val="0"/>
        <w:kinsoku w:val="0"/>
        <w:overflowPunct w:val="0"/>
        <w:autoSpaceDE w:val="0"/>
        <w:autoSpaceDN w:val="0"/>
        <w:spacing w:before="0" w:beforeAutospacing="0" w:after="0" w:afterAutospacing="0" w:line="600" w:lineRule="exact"/>
        <w:ind w:left="0" w:right="0" w:firstLine="643" w:firstLineChars="200"/>
        <w:jc w:val="both"/>
        <w:rPr>
          <w:rFonts w:hint="eastAsia" w:ascii="仿宋" w:hAnsi="仿宋" w:eastAsia="仿宋" w:cs="仿宋"/>
          <w:sz w:val="32"/>
          <w:szCs w:val="32"/>
          <w:lang w:val="en-US" w:eastAsia="zh-CN"/>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仿宋" w:hAnsi="仿宋" w:eastAsia="仿宋" w:cs="仿宋"/>
          <w:sz w:val="32"/>
          <w:szCs w:val="32"/>
        </w:rPr>
        <w:t>其中，</w:t>
      </w:r>
      <w:r>
        <w:rPr>
          <w:rFonts w:hint="eastAsia" w:ascii="仿宋" w:hAnsi="仿宋" w:eastAsia="仿宋" w:cs="仿宋"/>
          <w:sz w:val="32"/>
          <w:szCs w:val="32"/>
          <w:lang w:bidi="ar"/>
        </w:rPr>
        <w:t>公务用车购置费</w:t>
      </w:r>
      <w:r>
        <w:rPr>
          <w:rFonts w:hint="eastAsia" w:ascii="仿宋" w:hAnsi="仿宋" w:eastAsia="仿宋" w:cs="仿宋"/>
          <w:sz w:val="32"/>
          <w:szCs w:val="32"/>
          <w:lang w:val="en-US" w:eastAsia="zh-CN" w:bidi="ar"/>
        </w:rPr>
        <w:t>0</w:t>
      </w:r>
      <w:r>
        <w:rPr>
          <w:rFonts w:hint="eastAsia" w:ascii="仿宋" w:hAnsi="仿宋" w:eastAsia="仿宋" w:cs="仿宋"/>
          <w:sz w:val="32"/>
          <w:szCs w:val="32"/>
          <w:lang w:bidi="ar"/>
        </w:rPr>
        <w:t>万元；</w:t>
      </w:r>
      <w:r>
        <w:rPr>
          <w:rFonts w:hint="eastAsia" w:ascii="仿宋" w:hAnsi="仿宋" w:eastAsia="仿宋" w:cs="仿宋"/>
          <w:sz w:val="32"/>
          <w:szCs w:val="32"/>
        </w:rPr>
        <w:t>公务用车维护费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color w:val="auto"/>
          <w:kern w:val="2"/>
          <w:sz w:val="32"/>
          <w:szCs w:val="32"/>
          <w:highlight w:val="none"/>
          <w:lang w:val="en-US" w:eastAsia="zh-CN" w:bidi="ar"/>
        </w:rPr>
        <w:t>主要用于开展工作所需公务用车的燃料费、维修费、过路过桥费、保险费等支出。</w:t>
      </w:r>
      <w:r>
        <w:rPr>
          <w:rFonts w:hint="eastAsia" w:ascii="仿宋" w:hAnsi="仿宋" w:eastAsia="仿宋" w:cs="仿宋"/>
          <w:sz w:val="32"/>
          <w:szCs w:val="32"/>
          <w:lang w:bidi="ar"/>
        </w:rPr>
        <w:t>公务用车购置费预算数与 2020 年持平，均为0万元。</w:t>
      </w:r>
      <w:r>
        <w:rPr>
          <w:rFonts w:hint="eastAsia" w:ascii="仿宋" w:hAnsi="仿宋" w:eastAsia="仿宋" w:cs="仿宋"/>
          <w:color w:val="auto"/>
          <w:kern w:val="2"/>
          <w:sz w:val="32"/>
          <w:szCs w:val="32"/>
          <w:highlight w:val="none"/>
          <w:lang w:val="en-US" w:eastAsia="zh-CN"/>
        </w:rPr>
        <w:t>公务用车运行维护费预算数</w:t>
      </w:r>
      <w:r>
        <w:rPr>
          <w:rFonts w:hint="eastAsia" w:ascii="仿宋" w:hAnsi="仿宋" w:eastAsia="仿宋" w:cs="仿宋"/>
          <w:color w:val="auto"/>
          <w:kern w:val="2"/>
          <w:sz w:val="32"/>
          <w:szCs w:val="32"/>
          <w:highlight w:val="none"/>
          <w:lang w:val="en-US" w:eastAsia="zh-CN" w:bidi="ar"/>
        </w:rPr>
        <w:t>比 2021 年预算数减少15.34万元。</w:t>
      </w:r>
      <w:r>
        <w:rPr>
          <w:rFonts w:hint="eastAsia" w:ascii="仿宋" w:hAnsi="仿宋" w:eastAsia="仿宋" w:cs="仿宋"/>
          <w:kern w:val="2"/>
          <w:sz w:val="32"/>
          <w:szCs w:val="32"/>
          <w:highlight w:val="none"/>
          <w:lang w:val="en-US" w:eastAsia="zh-CN"/>
        </w:rPr>
        <w:t>主要</w:t>
      </w:r>
      <w:r>
        <w:rPr>
          <w:rFonts w:hint="eastAsia" w:ascii="仿宋" w:hAnsi="仿宋" w:eastAsia="仿宋" w:cs="仿宋"/>
          <w:kern w:val="2"/>
          <w:sz w:val="32"/>
          <w:szCs w:val="32"/>
          <w:lang w:val="en-US" w:eastAsia="zh-CN"/>
        </w:rPr>
        <w:t>原因：按照中央八项规定，减少三公经费开支。</w:t>
      </w:r>
    </w:p>
    <w:p>
      <w:pPr>
        <w:ind w:left="19" w:leftChars="9" w:firstLine="623" w:firstLineChars="194"/>
        <w:rPr>
          <w:rFonts w:hint="eastAsia" w:ascii="仿宋" w:hAnsi="仿宋" w:eastAsia="仿宋" w:cs="仿宋"/>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215.40</w:t>
      </w:r>
      <w:r>
        <w:rPr>
          <w:rFonts w:hint="eastAsia" w:ascii="仿宋_GB2312" w:eastAsia="仿宋_GB2312"/>
          <w:b/>
          <w:bCs/>
          <w:sz w:val="32"/>
          <w:szCs w:val="32"/>
        </w:rPr>
        <w:t>万元</w:t>
      </w:r>
      <w:r>
        <w:rPr>
          <w:rFonts w:hint="eastAsia" w:ascii="仿宋_GB2312" w:eastAsia="仿宋_GB2312"/>
          <w:sz w:val="32"/>
          <w:szCs w:val="32"/>
        </w:rPr>
        <w:t>。</w:t>
      </w:r>
      <w:r>
        <w:rPr>
          <w:rFonts w:hint="eastAsia" w:ascii="仿宋" w:hAnsi="仿宋" w:eastAsia="仿宋" w:cs="仿宋"/>
          <w:sz w:val="32"/>
          <w:szCs w:val="32"/>
          <w:lang w:bidi="ar"/>
        </w:rPr>
        <w:t>主要用于按规定开支的各类公务接待支出。预算数比 2020年减少</w:t>
      </w:r>
      <w:r>
        <w:rPr>
          <w:rFonts w:hint="eastAsia" w:ascii="仿宋" w:hAnsi="仿宋" w:eastAsia="仿宋" w:cs="仿宋"/>
          <w:sz w:val="32"/>
          <w:szCs w:val="32"/>
          <w:lang w:val="en-US" w:eastAsia="zh-CN" w:bidi="ar"/>
        </w:rPr>
        <w:t>79.91</w:t>
      </w:r>
      <w:r>
        <w:rPr>
          <w:rFonts w:hint="eastAsia" w:ascii="仿宋" w:hAnsi="仿宋" w:eastAsia="仿宋" w:cs="仿宋"/>
          <w:sz w:val="32"/>
          <w:szCs w:val="32"/>
          <w:lang w:bidi="ar"/>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w:t>
      </w:r>
      <w:r>
        <w:rPr>
          <w:rFonts w:hint="eastAsia" w:ascii="仿宋_GB2312" w:eastAsia="仿宋_GB2312"/>
          <w:sz w:val="32"/>
          <w:szCs w:val="32"/>
          <w:highlight w:val="none"/>
        </w:rPr>
        <w:t>预算88095.06万元</w:t>
      </w:r>
      <w:r>
        <w:rPr>
          <w:rFonts w:hint="eastAsia" w:ascii="仿宋_GB2312" w:eastAsia="仿宋_GB2312"/>
          <w:sz w:val="32"/>
          <w:szCs w:val="32"/>
        </w:rPr>
        <w:t>，主要保障机关人员工资发放、机构正常运转及正常履职需要。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w:t>
      </w:r>
      <w:r>
        <w:rPr>
          <w:rFonts w:hint="eastAsia" w:ascii="仿宋_GB2312" w:eastAsia="仿宋_GB2312"/>
          <w:sz w:val="32"/>
          <w:szCs w:val="32"/>
          <w:highlight w:val="none"/>
        </w:rPr>
        <w:t>年无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709"/>
        <w:rPr>
          <w:rFonts w:hint="eastAsia" w:ascii="仿宋_GB2312" w:eastAsia="仿宋_GB2312"/>
          <w:sz w:val="32"/>
          <w:szCs w:val="32"/>
          <w:lang w:val="en-US" w:eastAsia="zh-CN"/>
        </w:rPr>
      </w:pPr>
      <w:r>
        <w:rPr>
          <w:rFonts w:hint="eastAsia" w:ascii="仿宋_GB2312" w:eastAsia="仿宋_GB2312"/>
          <w:sz w:val="32"/>
          <w:szCs w:val="32"/>
        </w:rPr>
        <w:t>2021年，我单位拟组织对建档立卡贫困家庭儿童学前教育保教费省级补助预算资金、义务教育阶段建档立卡贫困家庭学生营养改善计划省级补助预算资金、义务教育家庭经济困难寄宿生生活补助预算资金、高中助学金、中职助学金预算资金等</w:t>
      </w:r>
      <w:r>
        <w:rPr>
          <w:rFonts w:hint="eastAsia" w:ascii="仿宋_GB2312" w:eastAsia="仿宋_GB2312"/>
          <w:sz w:val="32"/>
          <w:szCs w:val="32"/>
          <w:lang w:val="en-US" w:eastAsia="zh-CN"/>
        </w:rPr>
        <w:t>5</w:t>
      </w:r>
      <w:r>
        <w:rPr>
          <w:rFonts w:hint="eastAsia" w:ascii="仿宋_GB2312" w:eastAsia="仿宋_GB2312"/>
          <w:sz w:val="32"/>
          <w:szCs w:val="32"/>
        </w:rPr>
        <w:t>个项目进行预算绩效评价，涉及资金</w:t>
      </w:r>
      <w:r>
        <w:rPr>
          <w:rFonts w:hint="eastAsia" w:ascii="仿宋_GB2312" w:eastAsia="仿宋_GB2312"/>
          <w:sz w:val="32"/>
          <w:szCs w:val="32"/>
          <w:lang w:val="en-US" w:eastAsia="zh-CN"/>
        </w:rPr>
        <w:t>4608.3</w:t>
      </w:r>
      <w:r>
        <w:rPr>
          <w:rFonts w:hint="eastAsia" w:ascii="仿宋_GB2312" w:eastAsia="仿宋_GB2312"/>
          <w:sz w:val="32"/>
          <w:szCs w:val="32"/>
        </w:rPr>
        <w:t>万元。</w:t>
      </w:r>
      <w:r>
        <w:rPr>
          <w:rFonts w:hint="eastAsia" w:ascii="仿宋_GB2312" w:eastAsia="仿宋_GB2312"/>
          <w:sz w:val="32"/>
          <w:szCs w:val="32"/>
          <w:lang w:eastAsia="zh-CN"/>
        </w:rPr>
        <w:t>上述</w:t>
      </w:r>
      <w:r>
        <w:rPr>
          <w:rFonts w:hint="eastAsia" w:ascii="仿宋_GB2312" w:eastAsia="仿宋_GB2312"/>
          <w:sz w:val="32"/>
          <w:szCs w:val="32"/>
          <w:lang w:val="en-US" w:eastAsia="zh-CN"/>
        </w:rPr>
        <w:t>5个项目全部系上级资金，我单位现根据项目具体实施及资金分配情况，拟制定绩效目标设置。</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w:t>
      </w:r>
      <w:r>
        <w:rPr>
          <w:rFonts w:hint="eastAsia" w:ascii="仿宋_GB2312" w:eastAsia="仿宋_GB2312"/>
          <w:color w:val="auto"/>
          <w:sz w:val="32"/>
          <w:szCs w:val="32"/>
          <w:lang w:val="en-US" w:eastAsia="zh-CN"/>
        </w:rPr>
        <w:t>1</w:t>
      </w:r>
      <w:r>
        <w:rPr>
          <w:rFonts w:hint="eastAsia" w:ascii="仿宋_GB2312" w:eastAsia="仿宋_GB2312"/>
          <w:sz w:val="32"/>
          <w:szCs w:val="32"/>
        </w:rPr>
        <w:t>辆，其中：一般公务用车</w:t>
      </w:r>
      <w:r>
        <w:rPr>
          <w:rFonts w:hint="eastAsia" w:ascii="仿宋_GB2312" w:eastAsia="仿宋_GB2312"/>
          <w:sz w:val="32"/>
          <w:szCs w:val="32"/>
          <w:lang w:val="en-US" w:eastAsia="zh-CN"/>
        </w:rPr>
        <w:t>1</w:t>
      </w:r>
      <w:r>
        <w:rPr>
          <w:rFonts w:hint="eastAsia" w:ascii="仿宋_GB2312" w:eastAsia="仿宋_GB2312"/>
          <w:sz w:val="32"/>
          <w:szCs w:val="32"/>
        </w:rPr>
        <w:t>辆、一般执法执勤车辆</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辆，其他用车主要是离退休干部用车</w:t>
      </w:r>
      <w:r>
        <w:rPr>
          <w:rFonts w:hint="eastAsia" w:ascii="仿宋_GB2312" w:eastAsia="仿宋_GB2312"/>
          <w:sz w:val="32"/>
          <w:szCs w:val="32"/>
          <w:lang w:val="en-US" w:eastAsia="zh-CN"/>
        </w:rPr>
        <w:t>0</w:t>
      </w:r>
      <w:r>
        <w:rPr>
          <w:rFonts w:hint="eastAsia" w:ascii="仿宋_GB2312" w:eastAsia="仿宋_GB2312"/>
          <w:sz w:val="32"/>
          <w:szCs w:val="32"/>
        </w:rPr>
        <w:t>辆、应急保障车辆</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hint="eastAsia" w:ascii="仿宋_GB2312" w:eastAsia="仿宋_GB2312"/>
          <w:sz w:val="32"/>
          <w:szCs w:val="32"/>
          <w:highlight w:val="none"/>
          <w:lang w:eastAsia="zh-CN"/>
        </w:rPr>
      </w:pPr>
      <w:r>
        <w:rPr>
          <w:rFonts w:hint="eastAsia" w:ascii="仿宋_GB2312" w:eastAsia="仿宋_GB2312"/>
          <w:sz w:val="32"/>
          <w:szCs w:val="32"/>
        </w:rPr>
        <w:t>我单位负责的专项转移支付项目共有</w:t>
      </w:r>
      <w:r>
        <w:rPr>
          <w:rFonts w:hint="default" w:ascii="仿宋_GB2312" w:eastAsia="仿宋_GB2312"/>
          <w:sz w:val="32"/>
          <w:szCs w:val="32"/>
          <w:lang w:eastAsia="zh-CN"/>
        </w:rPr>
        <w:t>11</w:t>
      </w:r>
      <w:r>
        <w:rPr>
          <w:rFonts w:hint="eastAsia" w:ascii="仿宋_GB2312" w:eastAsia="仿宋_GB2312"/>
          <w:sz w:val="32"/>
          <w:szCs w:val="32"/>
        </w:rPr>
        <w:t>项，主要是：</w:t>
      </w:r>
      <w:r>
        <w:rPr>
          <w:rFonts w:hint="eastAsia" w:ascii="仿宋_GB2312" w:eastAsia="仿宋_GB2312"/>
          <w:sz w:val="32"/>
          <w:szCs w:val="32"/>
          <w:highlight w:val="none"/>
          <w:lang w:val="en-US" w:eastAsia="zh-CN"/>
        </w:rPr>
        <w:t>中职国家助学金资金项目165.5万元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城乡义务教育经费保障机制补助资金项目28376.3万元；特岗教师省级补助资金项目1594.8万元；义务教育薄弱环节改善与能力提升补助资金项目3865万元；支持学前教育发展补助资金项目1923万元；2021年建档立卡家庭经济困难学生资助资金项目594万元；特殊教育中央补助资金项目50万元；普通高中助学金中央和省级补助资金项目944万元；普通高中免学费中央补助资金项目142万元；原民办教师养老补贴省级包干补助资金项目448万元；乡村教师生活补助省级资金项目1977万元等。</w:t>
      </w:r>
    </w:p>
    <w:p>
      <w:pPr>
        <w:ind w:firstLine="700" w:firstLineChars="219"/>
        <w:rPr>
          <w:rFonts w:ascii="仿宋_GB2312" w:eastAsia="仿宋_GB2312"/>
          <w:color w:val="FF0000"/>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bookmarkStart w:id="0" w:name="_GoBack"/>
      <w:r>
        <w:rPr>
          <w:rFonts w:hint="default" w:ascii="仿宋_GB2312" w:eastAsia="仿宋_GB2312" w:hAnsiTheme="majorEastAsia"/>
          <w:sz w:val="32"/>
          <w:szCs w:val="32"/>
        </w:rPr>
        <w:object>
          <v:shape id="_x0000_i1025" o:spt="75" type="#_x0000_t75" style="height:120pt;width:120pt;" o:ole="t" filled="f" o:preferrelative="t" stroked="f" coordsize="21600,21600">
            <v:path/>
            <v:fill on="f" focussize="0,0"/>
            <v:stroke on="f"/>
            <v:imagedata r:id="rId6" o:title="oleimage"/>
            <o:lock v:ext="edit" aspectratio="t"/>
            <w10:wrap type="none"/>
            <w10:anchorlock/>
          </v:shape>
          <o:OLEObject Type="Embed" ProgID="Excel.Sheet.12" ShapeID="_x0000_i1025"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4FDDB8"/>
    <w:multiLevelType w:val="singleLevel"/>
    <w:tmpl w:val="494FDDB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zgwNzFlNTE1Yjg0NDk5ODI2ZWY3Yzc0NjNiNWE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1F153597"/>
    <w:rsid w:val="20F53F6B"/>
    <w:rsid w:val="21172D08"/>
    <w:rsid w:val="212E0F39"/>
    <w:rsid w:val="25097E0B"/>
    <w:rsid w:val="2D780E48"/>
    <w:rsid w:val="3168305B"/>
    <w:rsid w:val="37740D13"/>
    <w:rsid w:val="39CE1876"/>
    <w:rsid w:val="3AEB3A7E"/>
    <w:rsid w:val="3BBC1D2C"/>
    <w:rsid w:val="3DB812AD"/>
    <w:rsid w:val="41040419"/>
    <w:rsid w:val="423D3584"/>
    <w:rsid w:val="446059C4"/>
    <w:rsid w:val="471314C5"/>
    <w:rsid w:val="488B1342"/>
    <w:rsid w:val="48EC3681"/>
    <w:rsid w:val="4A183A49"/>
    <w:rsid w:val="4B17485A"/>
    <w:rsid w:val="4B540996"/>
    <w:rsid w:val="4B86067F"/>
    <w:rsid w:val="4B901AAA"/>
    <w:rsid w:val="4CB25A45"/>
    <w:rsid w:val="4DC340C1"/>
    <w:rsid w:val="4EB23847"/>
    <w:rsid w:val="4F4E22B8"/>
    <w:rsid w:val="52AF1F78"/>
    <w:rsid w:val="55BF499C"/>
    <w:rsid w:val="55CA7913"/>
    <w:rsid w:val="576B0713"/>
    <w:rsid w:val="58802D5A"/>
    <w:rsid w:val="59CD76D7"/>
    <w:rsid w:val="5A7054A3"/>
    <w:rsid w:val="5A9E72FD"/>
    <w:rsid w:val="5AB45193"/>
    <w:rsid w:val="5CA8687F"/>
    <w:rsid w:val="5F67F271"/>
    <w:rsid w:val="60AF768B"/>
    <w:rsid w:val="60D15B65"/>
    <w:rsid w:val="60D3160D"/>
    <w:rsid w:val="67471495"/>
    <w:rsid w:val="6AA309C2"/>
    <w:rsid w:val="6B001859"/>
    <w:rsid w:val="6DD00BE6"/>
    <w:rsid w:val="6F920B9B"/>
    <w:rsid w:val="6F9B7A32"/>
    <w:rsid w:val="72356867"/>
    <w:rsid w:val="727E7639"/>
    <w:rsid w:val="72CE3402"/>
    <w:rsid w:val="76BD02CB"/>
    <w:rsid w:val="7701693E"/>
    <w:rsid w:val="78BD42BC"/>
    <w:rsid w:val="79D11516"/>
    <w:rsid w:val="7A0415DC"/>
    <w:rsid w:val="7B530E71"/>
    <w:rsid w:val="7CA378FF"/>
    <w:rsid w:val="7CAB2C00"/>
    <w:rsid w:val="7E347B0D"/>
    <w:rsid w:val="AFF60DEA"/>
    <w:rsid w:val="DFD7A813"/>
    <w:rsid w:val="E77F513E"/>
    <w:rsid w:val="F35F5F44"/>
    <w:rsid w:val="FCC9A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4204</Words>
  <Characters>4577</Characters>
  <Lines>21</Lines>
  <Paragraphs>6</Paragraphs>
  <TotalTime>16</TotalTime>
  <ScaleCrop>false</ScaleCrop>
  <LinksUpToDate>false</LinksUpToDate>
  <CharactersWithSpaces>4624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2019-09-16T19:24:00Z</dcterms:created>
  <dc:creator>null,null,总收发</dc:creator>
  <cp:lastModifiedBy>Administrator</cp:lastModifiedBy>
  <cp:lastPrinted>2022-08-28T20:04:00Z</cp:lastPrinted>
  <dcterms:modified xsi:type="dcterms:W3CDTF">2022-09-02T01:56:49Z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8B9B956E7DB24E4D92E0EC152E080123</vt:lpwstr>
  </property>
</Properties>
</file>