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ascii="方正小标宋简体" w:hAnsi="黑体" w:eastAsia="方正小标宋简体"/>
          <w:color w:val="auto"/>
          <w:w w:val="90"/>
          <w:sz w:val="44"/>
          <w:szCs w:val="32"/>
          <w:highlight w:val="none"/>
        </w:rPr>
      </w:pPr>
      <w:r>
        <w:rPr>
          <w:rFonts w:hint="eastAsia" w:ascii="方正小标宋简体" w:hAnsi="黑体" w:eastAsia="方正小标宋简体"/>
          <w:color w:val="auto"/>
          <w:w w:val="90"/>
          <w:sz w:val="44"/>
          <w:szCs w:val="32"/>
          <w:highlight w:val="none"/>
        </w:rPr>
        <w:t>邓州市2021年</w:t>
      </w:r>
      <w:r>
        <w:rPr>
          <w:rFonts w:hint="eastAsia" w:ascii="方正小标宋简体" w:hAnsi="黑体" w:eastAsia="方正小标宋简体"/>
          <w:color w:val="auto"/>
          <w:w w:val="90"/>
          <w:sz w:val="44"/>
          <w:szCs w:val="32"/>
          <w:highlight w:val="none"/>
          <w:lang w:val="en-US" w:eastAsia="zh-CN"/>
        </w:rPr>
        <w:t>城区第四初级中学校</w:t>
      </w:r>
      <w:r>
        <w:rPr>
          <w:rFonts w:hint="eastAsia" w:ascii="方正小标宋简体" w:hAnsi="黑体" w:eastAsia="方正小标宋简体"/>
          <w:color w:val="auto"/>
          <w:w w:val="90"/>
          <w:sz w:val="44"/>
          <w:szCs w:val="32"/>
          <w:highlight w:val="none"/>
        </w:rPr>
        <w:t>单位预算基本情况说明</w:t>
      </w:r>
    </w:p>
    <w:p>
      <w:pPr>
        <w:shd w:val="clear"/>
        <w:jc w:val="center"/>
        <w:rPr>
          <w:rFonts w:asciiTheme="majorEastAsia" w:hAnsiTheme="majorEastAsia" w:eastAsiaTheme="majorEastAsia"/>
          <w:b/>
          <w:color w:val="auto"/>
          <w:sz w:val="28"/>
          <w:szCs w:val="32"/>
          <w:highlight w:val="none"/>
        </w:rPr>
      </w:pPr>
    </w:p>
    <w:p>
      <w:pPr>
        <w:shd w:val="clear"/>
        <w:jc w:val="center"/>
        <w:rPr>
          <w:rFonts w:ascii="黑体" w:eastAsia="黑体" w:hAnsiTheme="majorEastAsia"/>
          <w:color w:val="auto"/>
          <w:sz w:val="36"/>
          <w:szCs w:val="32"/>
          <w:highlight w:val="none"/>
        </w:rPr>
      </w:pPr>
      <w:r>
        <w:rPr>
          <w:rFonts w:hint="eastAsia" w:ascii="黑体" w:eastAsia="黑体" w:hAnsiTheme="majorEastAsia"/>
          <w:color w:val="auto"/>
          <w:sz w:val="36"/>
          <w:szCs w:val="32"/>
          <w:highlight w:val="none"/>
        </w:rPr>
        <w:t>目  录</w:t>
      </w:r>
    </w:p>
    <w:p>
      <w:pPr>
        <w:shd w:val="clear"/>
        <w:spacing w:before="312" w:beforeLines="100"/>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  邓州市</w:t>
      </w:r>
      <w:r>
        <w:rPr>
          <w:rFonts w:hint="eastAsia" w:ascii="黑体" w:eastAsia="黑体" w:hAnsiTheme="majorEastAsia"/>
          <w:color w:val="auto"/>
          <w:sz w:val="32"/>
          <w:szCs w:val="32"/>
          <w:highlight w:val="none"/>
          <w:lang w:val="en-US" w:eastAsia="zh-CN"/>
        </w:rPr>
        <w:t>城区第四初级中学校</w:t>
      </w:r>
      <w:r>
        <w:rPr>
          <w:rFonts w:hint="eastAsia" w:ascii="黑体" w:eastAsia="黑体" w:hAnsiTheme="majorEastAsia"/>
          <w:color w:val="auto"/>
          <w:sz w:val="32"/>
          <w:szCs w:val="32"/>
          <w:highlight w:val="none"/>
        </w:rPr>
        <w:t>概况</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主要职责</w:t>
      </w:r>
    </w:p>
    <w:p>
      <w:pPr>
        <w:pStyle w:val="9"/>
        <w:numPr>
          <w:ilvl w:val="0"/>
          <w:numId w:val="1"/>
        </w:numPr>
        <w:shd w:val="clear"/>
        <w:jc w:val="left"/>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预算单位构成情况</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 邓州市</w:t>
      </w:r>
      <w:r>
        <w:rPr>
          <w:rFonts w:hint="eastAsia" w:ascii="黑体" w:eastAsia="黑体" w:hAnsiTheme="majorEastAsia"/>
          <w:color w:val="auto"/>
          <w:sz w:val="32"/>
          <w:szCs w:val="32"/>
          <w:highlight w:val="none"/>
          <w:lang w:val="en-US" w:eastAsia="zh-CN"/>
        </w:rPr>
        <w:t>城区第四初级中学校</w:t>
      </w:r>
      <w:r>
        <w:rPr>
          <w:rFonts w:hint="eastAsia" w:ascii="黑体" w:eastAsia="黑体" w:hAnsiTheme="majorEastAsia"/>
          <w:color w:val="auto"/>
          <w:sz w:val="32"/>
          <w:szCs w:val="32"/>
          <w:highlight w:val="none"/>
        </w:rPr>
        <w:t>2021年单位预算情况说明</w:t>
      </w:r>
    </w:p>
    <w:p>
      <w:pPr>
        <w:shd w:val="clear"/>
        <w:jc w:val="left"/>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rPr>
          <w:rFonts w:ascii="仿宋_GB2312" w:eastAsia="仿宋_GB2312" w:hAnsiTheme="majorEastAsia"/>
          <w:color w:val="auto"/>
          <w:sz w:val="32"/>
          <w:szCs w:val="32"/>
          <w:highlight w:val="none"/>
        </w:rPr>
      </w:pPr>
      <w:r>
        <w:rPr>
          <w:rFonts w:hint="eastAsia" w:ascii="黑体" w:eastAsia="黑体" w:hAnsiTheme="majorEastAsia"/>
          <w:color w:val="auto"/>
          <w:sz w:val="32"/>
          <w:szCs w:val="32"/>
          <w:highlight w:val="none"/>
        </w:rPr>
        <w:t>附件</w:t>
      </w:r>
      <w:r>
        <w:rPr>
          <w:rFonts w:hint="eastAsia" w:ascii="仿宋_GB2312" w:eastAsia="仿宋_GB2312" w:hAnsiTheme="majorEastAsia"/>
          <w:color w:val="auto"/>
          <w:sz w:val="32"/>
          <w:szCs w:val="32"/>
          <w:highlight w:val="none"/>
        </w:rPr>
        <w:t>：2021年度单位预算表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一、单位收支总体情况表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二、单位收入总体情况表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三、单位支出总体情况表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四、财政拨款收支总体情况表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五、一般公共预算支出情况表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六、一般公共预算基本支出情况表</w:t>
      </w:r>
    </w:p>
    <w:p>
      <w:pPr>
        <w:shd w:val="clear"/>
        <w:ind w:firstLine="425" w:firstLineChars="133"/>
        <w:rPr>
          <w:rFonts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七、一般公共预算“三公”经费支出情况表</w:t>
      </w:r>
    </w:p>
    <w:p>
      <w:pPr>
        <w:shd w:val="clear"/>
        <w:snapToGrid w:val="0"/>
        <w:spacing w:line="360" w:lineRule="auto"/>
        <w:ind w:firstLine="425" w:firstLineChars="133"/>
        <w:rPr>
          <w:rFonts w:ascii="仿宋_GB2312" w:eastAsia="仿宋_GB2312" w:hAnsiTheme="majorEastAsia"/>
          <w:color w:val="auto"/>
          <w:sz w:val="28"/>
          <w:szCs w:val="28"/>
          <w:highlight w:val="none"/>
        </w:rPr>
      </w:pPr>
      <w:r>
        <w:rPr>
          <w:rFonts w:hint="eastAsia" w:ascii="仿宋_GB2312" w:eastAsia="仿宋_GB2312" w:hAnsiTheme="majorEastAsia"/>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snapToGrid w:val="0"/>
        <w:spacing w:line="360" w:lineRule="auto"/>
        <w:ind w:firstLine="372" w:firstLineChars="133"/>
        <w:rPr>
          <w:rFonts w:ascii="仿宋_GB2312" w:eastAsia="仿宋_GB2312" w:hAnsiTheme="majorEastAsia"/>
          <w:color w:val="auto"/>
          <w:sz w:val="28"/>
          <w:szCs w:val="28"/>
          <w:highlight w:val="none"/>
        </w:rPr>
      </w:pPr>
    </w:p>
    <w:p>
      <w:pPr>
        <w:shd w:val="clear"/>
        <w:ind w:firstLine="427" w:firstLineChars="133"/>
        <w:rPr>
          <w:rFonts w:ascii="仿宋_GB2312" w:eastAsia="仿宋_GB2312" w:hAnsiTheme="majorEastAsia"/>
          <w:b/>
          <w:color w:val="auto"/>
          <w:sz w:val="32"/>
          <w:szCs w:val="32"/>
          <w:highlight w:val="none"/>
        </w:rPr>
      </w:pPr>
      <w:r>
        <w:rPr>
          <w:rFonts w:ascii="仿宋_GB2312" w:eastAsia="仿宋_GB2312" w:hAnsiTheme="majorEastAsia"/>
          <w:b/>
          <w:color w:val="auto"/>
          <w:sz w:val="32"/>
          <w:szCs w:val="32"/>
          <w:highlight w:val="none"/>
        </w:rPr>
        <w:br w:type="page"/>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第一部分</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城区第四初级中学校</w:t>
      </w:r>
      <w:r>
        <w:rPr>
          <w:rFonts w:hint="eastAsia" w:ascii="黑体" w:eastAsia="黑体" w:hAnsiTheme="majorEastAsia"/>
          <w:color w:val="auto"/>
          <w:sz w:val="32"/>
          <w:szCs w:val="32"/>
          <w:highlight w:val="none"/>
        </w:rPr>
        <w:t>概况</w:t>
      </w:r>
    </w:p>
    <w:p>
      <w:pPr>
        <w:shd w:val="clear"/>
        <w:rPr>
          <w:rFonts w:ascii="仿宋_GB2312" w:eastAsia="仿宋_GB2312"/>
          <w:b/>
          <w:color w:val="auto"/>
          <w:sz w:val="32"/>
          <w:szCs w:val="32"/>
          <w:highlight w:val="none"/>
        </w:rPr>
      </w:pP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一、主要职责</w:t>
      </w:r>
    </w:p>
    <w:p>
      <w:pPr>
        <w:shd w:val="clear"/>
        <w:ind w:firstLine="566" w:firstLineChars="177"/>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实施初中义务教育</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促进基础教育发展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实施初中学历教育</w:t>
      </w:r>
      <w:r>
        <w:rPr>
          <w:rFonts w:hint="eastAsia" w:ascii="仿宋_GB2312" w:eastAsia="仿宋_GB2312"/>
          <w:color w:val="auto"/>
          <w:sz w:val="32"/>
          <w:szCs w:val="32"/>
          <w:highlight w:val="none"/>
        </w:rPr>
        <w:t>。</w:t>
      </w:r>
    </w:p>
    <w:p>
      <w:pPr>
        <w:shd w:val="clear"/>
        <w:ind w:firstLine="566" w:firstLineChars="177"/>
        <w:rPr>
          <w:rFonts w:ascii="黑体" w:eastAsia="黑体"/>
          <w:color w:val="auto"/>
          <w:sz w:val="32"/>
          <w:szCs w:val="32"/>
          <w:highlight w:val="none"/>
        </w:rPr>
      </w:pPr>
      <w:r>
        <w:rPr>
          <w:rFonts w:hint="eastAsia" w:ascii="黑体" w:eastAsia="黑体"/>
          <w:color w:val="auto"/>
          <w:sz w:val="32"/>
          <w:szCs w:val="32"/>
          <w:highlight w:val="none"/>
        </w:rPr>
        <w:t>二、单位预算构成情况</w:t>
      </w:r>
    </w:p>
    <w:p>
      <w:pPr>
        <w:shd w:val="clea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邓州市城区四初中内设政务处</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教务处</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rPr>
        <w:t>后勤处、安保处四个部门。</w:t>
      </w:r>
    </w:p>
    <w:p>
      <w:pPr>
        <w:shd w:val="clear"/>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第二部分</w:t>
      </w:r>
    </w:p>
    <w:p>
      <w:pPr>
        <w:shd w:val="clear"/>
        <w:jc w:val="center"/>
        <w:rPr>
          <w:rFonts w:hint="eastAsia" w:ascii="黑体" w:eastAsia="黑体" w:hAnsiTheme="majorEastAsia"/>
          <w:color w:val="auto"/>
          <w:sz w:val="32"/>
          <w:szCs w:val="32"/>
          <w:highlight w:val="none"/>
        </w:rPr>
      </w:pPr>
      <w:r>
        <w:rPr>
          <w:rFonts w:hint="eastAsia" w:ascii="黑体" w:eastAsia="黑体" w:hAnsiTheme="majorEastAsia"/>
          <w:color w:val="auto"/>
          <w:sz w:val="32"/>
          <w:szCs w:val="32"/>
          <w:highlight w:val="none"/>
        </w:rPr>
        <w:t>邓州市</w:t>
      </w:r>
      <w:r>
        <w:rPr>
          <w:rFonts w:hint="eastAsia" w:ascii="黑体" w:eastAsia="黑体" w:hAnsiTheme="majorEastAsia"/>
          <w:color w:val="auto"/>
          <w:sz w:val="32"/>
          <w:szCs w:val="32"/>
          <w:highlight w:val="none"/>
          <w:lang w:val="en-US" w:eastAsia="zh-CN"/>
        </w:rPr>
        <w:t>城区第四初级中学校</w:t>
      </w:r>
      <w:r>
        <w:rPr>
          <w:rFonts w:hint="eastAsia" w:ascii="黑体" w:eastAsia="黑体" w:hAnsiTheme="majorEastAsia"/>
          <w:color w:val="auto"/>
          <w:sz w:val="32"/>
          <w:szCs w:val="32"/>
          <w:highlight w:val="none"/>
        </w:rPr>
        <w:t>2021年单位预算情况说明</w:t>
      </w:r>
    </w:p>
    <w:p>
      <w:pPr>
        <w:numPr>
          <w:ilvl w:val="0"/>
          <w:numId w:val="0"/>
        </w:numPr>
        <w:shd w:val="clear"/>
        <w:ind w:firstLine="420" w:firstLineChars="200"/>
        <w:rPr>
          <w:rFonts w:hint="eastAsia" w:ascii="黑体" w:eastAsia="黑体"/>
          <w:color w:val="auto"/>
          <w:sz w:val="21"/>
          <w:szCs w:val="21"/>
          <w:highlight w:val="none"/>
          <w:lang w:val="en-US" w:eastAsia="zh-CN"/>
        </w:rPr>
      </w:pPr>
    </w:p>
    <w:p>
      <w:pPr>
        <w:numPr>
          <w:ilvl w:val="0"/>
          <w:numId w:val="0"/>
        </w:numPr>
        <w:shd w:val="clear"/>
        <w:ind w:firstLine="640" w:firstLineChars="200"/>
        <w:rPr>
          <w:rFonts w:ascii="仿宋_GB2312" w:eastAsia="仿宋_GB2312"/>
          <w:color w:val="auto"/>
          <w:sz w:val="32"/>
          <w:szCs w:val="32"/>
          <w:highlight w:val="none"/>
        </w:rPr>
      </w:pPr>
      <w:r>
        <w:rPr>
          <w:rFonts w:hint="eastAsia" w:ascii="黑体" w:eastAsia="黑体"/>
          <w:color w:val="auto"/>
          <w:sz w:val="32"/>
          <w:szCs w:val="32"/>
          <w:highlight w:val="none"/>
          <w:lang w:val="en-US" w:eastAsia="zh-CN"/>
        </w:rPr>
        <w:t>一、</w:t>
      </w:r>
      <w:r>
        <w:rPr>
          <w:rFonts w:hint="eastAsia" w:ascii="黑体" w:eastAsia="黑体"/>
          <w:color w:val="auto"/>
          <w:sz w:val="32"/>
          <w:szCs w:val="32"/>
          <w:highlight w:val="none"/>
        </w:rPr>
        <w:t>收入支出预算总体情况说明</w:t>
      </w:r>
    </w:p>
    <w:p>
      <w:pPr>
        <w:shd w:val="clea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（邓州市</w:t>
      </w:r>
      <w:r>
        <w:rPr>
          <w:rFonts w:hint="eastAsia" w:ascii="仿宋_GB2312" w:eastAsia="仿宋_GB2312"/>
          <w:color w:val="auto"/>
          <w:sz w:val="32"/>
          <w:szCs w:val="32"/>
          <w:highlight w:val="none"/>
          <w:lang w:val="en-US" w:eastAsia="zh-CN"/>
        </w:rPr>
        <w:t>城区第四初级中学校</w:t>
      </w:r>
      <w:r>
        <w:rPr>
          <w:rFonts w:hint="eastAsia" w:ascii="仿宋_GB2312" w:eastAsia="仿宋_GB2312"/>
          <w:color w:val="auto"/>
          <w:sz w:val="32"/>
          <w:szCs w:val="32"/>
          <w:highlight w:val="none"/>
        </w:rPr>
        <w:t>2021年为新增预算单位）</w:t>
      </w:r>
    </w:p>
    <w:p>
      <w:pPr>
        <w:shd w:val="clear"/>
        <w:ind w:firstLine="640" w:firstLineChars="200"/>
        <w:rPr>
          <w:rFonts w:hint="eastAsia" w:eastAsia="仿宋_GB2312"/>
          <w:color w:val="auto"/>
          <w:sz w:val="32"/>
          <w:szCs w:val="32"/>
          <w:highlight w:val="none"/>
        </w:rPr>
      </w:pPr>
      <w:r>
        <w:rPr>
          <w:rFonts w:hint="eastAsia" w:ascii="仿宋_GB2312" w:eastAsia="仿宋_GB2312"/>
          <w:color w:val="auto"/>
          <w:sz w:val="32"/>
          <w:szCs w:val="32"/>
          <w:highlight w:val="none"/>
        </w:rPr>
        <w:t>2021年收入总计815.03 万元，支出总计815.03 万元，与2020年相比，收入、支出各增长</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邓州市城区第四初级中学校2021年为新增预算单位</w:t>
      </w:r>
      <w:r>
        <w:rPr>
          <w:rFonts w:hint="eastAsia" w:eastAsia="仿宋_GB2312"/>
          <w:color w:val="auto"/>
          <w:sz w:val="32"/>
          <w:szCs w:val="32"/>
          <w:highlight w:val="none"/>
        </w:rPr>
        <w:t>。</w:t>
      </w:r>
    </w:p>
    <w:p>
      <w:pPr>
        <w:shd w:val="clear"/>
        <w:ind w:firstLine="567"/>
        <w:rPr>
          <w:rFonts w:ascii="黑体" w:eastAsia="黑体"/>
          <w:color w:val="auto"/>
          <w:sz w:val="32"/>
          <w:szCs w:val="32"/>
          <w:highlight w:val="none"/>
        </w:rPr>
      </w:pPr>
      <w:r>
        <w:rPr>
          <w:rFonts w:hint="eastAsia" w:ascii="黑体" w:eastAsia="黑体"/>
          <w:color w:val="auto"/>
          <w:sz w:val="32"/>
          <w:szCs w:val="32"/>
          <w:highlight w:val="none"/>
        </w:rPr>
        <w:t>二、收入预算总体情况说明</w:t>
      </w:r>
    </w:p>
    <w:p>
      <w:pPr>
        <w:shd w:val="clear"/>
        <w:ind w:firstLine="707" w:firstLineChars="221"/>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2021年收入预算815.03 万元，其中：</w:t>
      </w:r>
      <w:r>
        <w:rPr>
          <w:rFonts w:hint="eastAsia" w:eastAsia="仿宋_GB2312"/>
          <w:color w:val="auto"/>
          <w:sz w:val="32"/>
          <w:szCs w:val="32"/>
          <w:highlight w:val="none"/>
        </w:rPr>
        <w:t>一般公共预算收入</w:t>
      </w:r>
      <w:r>
        <w:rPr>
          <w:rFonts w:hint="eastAsia" w:ascii="仿宋_GB2312" w:eastAsia="仿宋_GB2312"/>
          <w:color w:val="auto"/>
          <w:sz w:val="32"/>
          <w:szCs w:val="32"/>
          <w:highlight w:val="none"/>
        </w:rPr>
        <w:t xml:space="preserve">815.03 万元，政府性基金收入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xml:space="preserve">万元，国有资本经营预算收入 </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w:t>
      </w:r>
      <w:r>
        <w:rPr>
          <w:rFonts w:hint="eastAsia" w:ascii="仿宋_GB2312" w:eastAsia="仿宋_GB2312"/>
          <w:color w:val="auto"/>
          <w:sz w:val="32"/>
          <w:szCs w:val="32"/>
          <w:highlight w:val="none"/>
          <w:lang w:val="en-US" w:eastAsia="zh-Hans"/>
        </w:rPr>
        <w:t>财政专户管理资金收入</w:t>
      </w:r>
      <w:r>
        <w:rPr>
          <w:rFonts w:hint="default" w:ascii="仿宋_GB2312" w:eastAsia="仿宋_GB2312"/>
          <w:color w:val="auto"/>
          <w:sz w:val="32"/>
          <w:szCs w:val="32"/>
          <w:highlight w:val="none"/>
          <w:lang w:eastAsia="zh-Hans"/>
        </w:rPr>
        <w:t>0</w:t>
      </w:r>
      <w:r>
        <w:rPr>
          <w:rFonts w:hint="eastAsia" w:ascii="仿宋_GB2312" w:eastAsia="仿宋_GB2312"/>
          <w:color w:val="auto"/>
          <w:sz w:val="32"/>
          <w:szCs w:val="32"/>
          <w:highlight w:val="none"/>
          <w:lang w:val="en-US" w:eastAsia="zh-Hans"/>
        </w:rPr>
        <w:t>万元</w:t>
      </w:r>
      <w:r>
        <w:rPr>
          <w:rFonts w:hint="eastAsia" w:ascii="仿宋_GB2312" w:eastAsia="仿宋_GB2312"/>
          <w:color w:val="auto"/>
          <w:sz w:val="32"/>
          <w:szCs w:val="32"/>
          <w:highlight w:val="none"/>
          <w:lang w:eastAsia="zh-CN"/>
        </w:rPr>
        <w:t>。</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三、支出预算总体情况说明</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2021年支出预算815.03 万元，其中：基本支出710.96 万元，占年度计划的</w:t>
      </w:r>
      <w:r>
        <w:rPr>
          <w:rFonts w:hint="eastAsia" w:ascii="仿宋_GB2312" w:eastAsia="仿宋_GB2312"/>
          <w:color w:val="auto"/>
          <w:sz w:val="32"/>
          <w:szCs w:val="32"/>
          <w:highlight w:val="none"/>
          <w:lang w:val="en-US" w:eastAsia="zh-CN"/>
        </w:rPr>
        <w:t>87.23</w:t>
      </w:r>
      <w:r>
        <w:rPr>
          <w:rFonts w:hint="eastAsia" w:ascii="仿宋_GB2312" w:eastAsia="仿宋_GB2312"/>
          <w:color w:val="auto"/>
          <w:sz w:val="32"/>
          <w:szCs w:val="32"/>
          <w:highlight w:val="none"/>
        </w:rPr>
        <w:t>%；项目支出104.07 万元，占年度计划的</w:t>
      </w:r>
      <w:r>
        <w:rPr>
          <w:rFonts w:hint="eastAsia" w:ascii="仿宋_GB2312" w:eastAsia="仿宋_GB2312"/>
          <w:color w:val="auto"/>
          <w:sz w:val="32"/>
          <w:szCs w:val="32"/>
          <w:highlight w:val="none"/>
          <w:lang w:val="en-US" w:eastAsia="zh-CN"/>
        </w:rPr>
        <w:t>12.77</w:t>
      </w:r>
      <w:r>
        <w:rPr>
          <w:rFonts w:hint="eastAsia" w:ascii="仿宋_GB2312" w:eastAsia="仿宋_GB2312"/>
          <w:color w:val="auto"/>
          <w:sz w:val="32"/>
          <w:szCs w:val="32"/>
          <w:highlight w:val="none"/>
        </w:rPr>
        <w:t xml:space="preserve">%。 </w:t>
      </w:r>
    </w:p>
    <w:p>
      <w:pPr>
        <w:shd w:val="clea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四、财政拨款收支预算总体情况说明</w:t>
      </w:r>
    </w:p>
    <w:p>
      <w:pPr>
        <w:shd w:val="clea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 xml:space="preserve"> 2021年一般公共预算收支预算</w:t>
      </w:r>
      <w:r>
        <w:rPr>
          <w:rFonts w:hint="eastAsia" w:ascii="仿宋_GB2312" w:eastAsia="仿宋_GB2312"/>
          <w:color w:val="auto"/>
          <w:sz w:val="32"/>
          <w:szCs w:val="32"/>
          <w:highlight w:val="none"/>
          <w:lang w:eastAsia="zh-CN"/>
        </w:rPr>
        <w:t>815.03</w:t>
      </w:r>
      <w:r>
        <w:rPr>
          <w:rFonts w:hint="eastAsia" w:ascii="仿宋_GB2312" w:eastAsia="仿宋_GB2312"/>
          <w:color w:val="auto"/>
          <w:sz w:val="32"/>
          <w:szCs w:val="32"/>
          <w:highlight w:val="none"/>
        </w:rPr>
        <w:t>万元，政府性基金收支预算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万元，国有资本经营收支预算</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万元，与2020年相比，收入支出增长</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万元。主要原因是：</w:t>
      </w:r>
      <w:r>
        <w:rPr>
          <w:rFonts w:hint="eastAsia" w:ascii="仿宋_GB2312" w:eastAsia="仿宋_GB2312"/>
          <w:color w:val="auto"/>
          <w:sz w:val="32"/>
          <w:szCs w:val="32"/>
          <w:highlight w:val="none"/>
          <w:lang w:val="en-US" w:eastAsia="zh-CN"/>
        </w:rPr>
        <w:t>邓州市城区第四初级中学校2021年为新增预算单位。</w:t>
      </w:r>
    </w:p>
    <w:p>
      <w:pPr>
        <w:shd w:val="clear"/>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Times New Roman"/>
          <w:color w:val="auto"/>
          <w:sz w:val="32"/>
          <w:szCs w:val="32"/>
          <w:highlight w:val="none"/>
        </w:rPr>
        <w:t>五、一般公共预算支出预算情况说明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年一般公共预算支出年初预算为</w:t>
      </w:r>
      <w:r>
        <w:rPr>
          <w:rFonts w:hint="default" w:ascii="仿宋_GB2312" w:eastAsia="仿宋_GB2312"/>
          <w:color w:val="auto"/>
          <w:sz w:val="32"/>
          <w:szCs w:val="32"/>
          <w:highlight w:val="none"/>
          <w:lang w:eastAsia="zh-CN"/>
        </w:rPr>
        <w:t>742</w:t>
      </w:r>
      <w:r>
        <w:rPr>
          <w:rFonts w:hint="eastAsia" w:ascii="仿宋_GB2312" w:eastAsia="仿宋_GB2312"/>
          <w:color w:val="auto"/>
          <w:sz w:val="32"/>
          <w:szCs w:val="32"/>
          <w:highlight w:val="none"/>
          <w:lang w:val="en-US" w:eastAsia="zh-Hans"/>
        </w:rPr>
        <w:t>.</w:t>
      </w:r>
      <w:r>
        <w:rPr>
          <w:rFonts w:hint="default" w:ascii="仿宋_GB2312" w:eastAsia="仿宋_GB2312"/>
          <w:color w:val="auto"/>
          <w:sz w:val="32"/>
          <w:szCs w:val="32"/>
          <w:highlight w:val="none"/>
          <w:lang w:eastAsia="zh-Hans"/>
        </w:rPr>
        <w:t>87</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基本支出</w:t>
      </w:r>
      <w:r>
        <w:rPr>
          <w:rFonts w:hint="eastAsia" w:ascii="仿宋_GB2312" w:eastAsia="仿宋_GB2312"/>
          <w:color w:val="auto"/>
          <w:sz w:val="32"/>
          <w:szCs w:val="32"/>
          <w:highlight w:val="none"/>
        </w:rPr>
        <w:t>710.96</w:t>
      </w:r>
      <w:r>
        <w:rPr>
          <w:rFonts w:hint="eastAsia"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eastAsia="zh-CN"/>
        </w:rPr>
        <w:t>95</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7</w:t>
      </w:r>
      <w:r>
        <w:rPr>
          <w:rFonts w:hint="eastAsia" w:ascii="Times New Roman" w:hAnsi="Times New Roman" w:eastAsia="仿宋_GB2312" w:cs="Times New Roman"/>
          <w:color w:val="auto"/>
          <w:sz w:val="32"/>
          <w:szCs w:val="32"/>
          <w:highlight w:val="none"/>
        </w:rPr>
        <w:t>%；项目支出</w:t>
      </w:r>
      <w:r>
        <w:rPr>
          <w:rFonts w:hint="default" w:ascii="Times New Roman" w:hAnsi="Times New Roman" w:eastAsia="仿宋_GB2312" w:cs="Times New Roman"/>
          <w:color w:val="auto"/>
          <w:sz w:val="32"/>
          <w:szCs w:val="32"/>
          <w:highlight w:val="none"/>
          <w:lang w:eastAsia="zh-CN"/>
        </w:rPr>
        <w:t>31</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91</w:t>
      </w:r>
      <w:r>
        <w:rPr>
          <w:rFonts w:hint="eastAsia" w:ascii="Times New Roman" w:hAnsi="Times New Roman" w:eastAsia="仿宋_GB2312" w:cs="Times New Roman"/>
          <w:color w:val="auto"/>
          <w:sz w:val="32"/>
          <w:szCs w:val="32"/>
          <w:highlight w:val="none"/>
        </w:rPr>
        <w:t xml:space="preserve"> 万元，占</w:t>
      </w:r>
      <w:r>
        <w:rPr>
          <w:rFonts w:hint="default" w:ascii="Times New Roman" w:hAnsi="Times New Roman" w:eastAsia="仿宋_GB2312" w:cs="Times New Roman"/>
          <w:color w:val="auto"/>
          <w:sz w:val="32"/>
          <w:szCs w:val="32"/>
          <w:highlight w:val="none"/>
          <w:lang w:eastAsia="zh-CN"/>
        </w:rPr>
        <w:t>4</w:t>
      </w:r>
      <w:r>
        <w:rPr>
          <w:rFonts w:hint="eastAsia" w:ascii="Times New Roman" w:hAnsi="Times New Roman" w:eastAsia="仿宋_GB2312" w:cs="Times New Roman"/>
          <w:color w:val="auto"/>
          <w:sz w:val="32"/>
          <w:szCs w:val="32"/>
          <w:highlight w:val="none"/>
          <w:lang w:val="en-US" w:eastAsia="zh-Hans"/>
        </w:rPr>
        <w:t>.</w:t>
      </w:r>
      <w:r>
        <w:rPr>
          <w:rFonts w:hint="default" w:ascii="Times New Roman" w:hAnsi="Times New Roman" w:eastAsia="仿宋_GB2312" w:cs="Times New Roman"/>
          <w:color w:val="auto"/>
          <w:sz w:val="32"/>
          <w:szCs w:val="32"/>
          <w:highlight w:val="none"/>
          <w:lang w:eastAsia="zh-Hans"/>
        </w:rPr>
        <w:t>29</w:t>
      </w:r>
      <w:r>
        <w:rPr>
          <w:rFonts w:hint="eastAsia" w:ascii="Times New Roman" w:hAnsi="Times New Roman" w:eastAsia="仿宋_GB2312" w:cs="Times New Roman"/>
          <w:color w:val="auto"/>
          <w:sz w:val="32"/>
          <w:szCs w:val="32"/>
          <w:highlight w:val="none"/>
        </w:rPr>
        <w:t>%。</w:t>
      </w:r>
    </w:p>
    <w:p>
      <w:pPr>
        <w:numPr>
          <w:ilvl w:val="0"/>
          <w:numId w:val="2"/>
        </w:numPr>
        <w:shd w:val="clear"/>
        <w:ind w:firstLine="709"/>
        <w:rPr>
          <w:rFonts w:ascii="Times New Roman" w:hAnsi="Times New Roman" w:eastAsia="仿宋_GB2312" w:cs="Times New Roman"/>
          <w:b/>
          <w:bCs/>
          <w:color w:val="auto"/>
          <w:sz w:val="32"/>
          <w:szCs w:val="32"/>
          <w:highlight w:val="none"/>
        </w:rPr>
      </w:pPr>
      <w:r>
        <w:rPr>
          <w:rFonts w:hint="eastAsia" w:ascii="Times New Roman" w:hAnsi="Times New Roman" w:eastAsia="仿宋_GB2312" w:cs="Times New Roman"/>
          <w:b/>
          <w:bCs/>
          <w:color w:val="auto"/>
          <w:sz w:val="32"/>
          <w:szCs w:val="32"/>
          <w:highlight w:val="none"/>
        </w:rPr>
        <w:t>一般公共预算基本支出预算情况说明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w:t>
      </w:r>
      <w:r>
        <w:rPr>
          <w:rFonts w:ascii="Times New Roman" w:hAnsi="Times New Roman" w:eastAsia="仿宋_GB2312" w:cs="Times New Roman"/>
          <w:color w:val="auto"/>
          <w:sz w:val="32"/>
          <w:szCs w:val="32"/>
          <w:highlight w:val="none"/>
        </w:rPr>
        <w:t>年一般公共预算</w:t>
      </w:r>
      <w:r>
        <w:rPr>
          <w:rFonts w:hint="eastAsia" w:ascii="Times New Roman" w:hAnsi="Times New Roman" w:eastAsia="仿宋_GB2312" w:cs="Times New Roman"/>
          <w:color w:val="auto"/>
          <w:sz w:val="32"/>
          <w:szCs w:val="32"/>
          <w:highlight w:val="none"/>
        </w:rPr>
        <w:t>基本支出</w:t>
      </w:r>
      <w:r>
        <w:rPr>
          <w:rFonts w:ascii="Times New Roman" w:hAnsi="Times New Roman" w:eastAsia="仿宋_GB2312" w:cs="Times New Roman"/>
          <w:color w:val="auto"/>
          <w:sz w:val="32"/>
          <w:szCs w:val="32"/>
          <w:highlight w:val="none"/>
        </w:rPr>
        <w:t>年初预算为</w:t>
      </w:r>
      <w:r>
        <w:rPr>
          <w:rFonts w:hint="eastAsia" w:ascii="仿宋_GB2312" w:eastAsia="仿宋_GB2312"/>
          <w:color w:val="auto"/>
          <w:sz w:val="32"/>
          <w:szCs w:val="32"/>
          <w:highlight w:val="none"/>
        </w:rPr>
        <w:t>710.96</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人员经费支出</w:t>
      </w:r>
      <w:r>
        <w:rPr>
          <w:rFonts w:hint="eastAsia" w:ascii="Times New Roman" w:hAnsi="Times New Roman" w:eastAsia="仿宋_GB2312" w:cs="Times New Roman"/>
          <w:color w:val="auto"/>
          <w:sz w:val="32"/>
          <w:szCs w:val="32"/>
          <w:highlight w:val="none"/>
          <w:lang w:val="en-US" w:eastAsia="zh-CN"/>
        </w:rPr>
        <w:t>710.66</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99.96</w:t>
      </w:r>
      <w:r>
        <w:rPr>
          <w:rFonts w:hint="eastAsia" w:ascii="Times New Roman" w:hAnsi="Times New Roman" w:eastAsia="仿宋_GB2312" w:cs="Times New Roman"/>
          <w:color w:val="auto"/>
          <w:sz w:val="32"/>
          <w:szCs w:val="32"/>
          <w:highlight w:val="none"/>
        </w:rPr>
        <w:t>%；公用经费支出0.</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万元，占</w:t>
      </w:r>
      <w:r>
        <w:rPr>
          <w:rFonts w:hint="eastAsia" w:ascii="Times New Roman" w:hAnsi="Times New Roman" w:eastAsia="仿宋_GB2312" w:cs="Times New Roman"/>
          <w:color w:val="auto"/>
          <w:sz w:val="32"/>
          <w:szCs w:val="32"/>
          <w:highlight w:val="none"/>
          <w:lang w:val="en-US" w:eastAsia="zh-CN"/>
        </w:rPr>
        <w:t>0.04</w:t>
      </w:r>
      <w:r>
        <w:rPr>
          <w:rFonts w:hint="eastAsia" w:ascii="Times New Roman" w:hAnsi="Times New Roman" w:eastAsia="仿宋_GB2312" w:cs="Times New Roman"/>
          <w:color w:val="auto"/>
          <w:sz w:val="32"/>
          <w:szCs w:val="32"/>
          <w:highlight w:val="none"/>
        </w:rPr>
        <w:t>%。</w:t>
      </w:r>
    </w:p>
    <w:p>
      <w:pPr>
        <w:shd w:val="clear"/>
        <w:spacing w:line="600" w:lineRule="exact"/>
        <w:ind w:firstLine="640" w:firstLineChars="200"/>
        <w:rPr>
          <w:rFonts w:ascii="Times New Roman" w:hAnsi="Times New Roman" w:eastAsia="黑体" w:cs="Times New Roman"/>
          <w:color w:val="auto"/>
          <w:kern w:val="0"/>
          <w:sz w:val="32"/>
          <w:szCs w:val="32"/>
          <w:highlight w:val="none"/>
        </w:rPr>
      </w:pPr>
      <w:r>
        <w:rPr>
          <w:rFonts w:hint="eastAsia" w:ascii="Times New Roman" w:hAnsi="Times New Roman" w:eastAsia="黑体" w:cs="黑体"/>
          <w:color w:val="auto"/>
          <w:kern w:val="0"/>
          <w:sz w:val="32"/>
          <w:szCs w:val="32"/>
          <w:highlight w:val="none"/>
          <w:lang w:bidi="ar"/>
        </w:rPr>
        <w:t>七、支出预算经济分类情况说明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lang w:bidi="ar"/>
        </w:rPr>
        <w:t>按照《财政部关于印发</w:t>
      </w:r>
      <w:r>
        <w:rPr>
          <w:rFonts w:ascii="Times New Roman" w:hAnsi="Times New Roman" w:eastAsia="仿宋_GB2312" w:cs="Times New Roman"/>
          <w:color w:val="auto"/>
          <w:sz w:val="32"/>
          <w:szCs w:val="32"/>
          <w:highlight w:val="none"/>
          <w:lang w:bidi="ar"/>
        </w:rPr>
        <w:t>&lt;</w:t>
      </w:r>
      <w:r>
        <w:rPr>
          <w:rFonts w:hint="eastAsia" w:ascii="Times New Roman" w:hAnsi="Times New Roman" w:eastAsia="仿宋_GB2312" w:cs="仿宋_GB2312"/>
          <w:color w:val="auto"/>
          <w:sz w:val="32"/>
          <w:szCs w:val="32"/>
          <w:highlight w:val="none"/>
          <w:lang w:bidi="ar"/>
        </w:rPr>
        <w:t>支出经济分类科目改革方案</w:t>
      </w:r>
      <w:r>
        <w:rPr>
          <w:rFonts w:ascii="Times New Roman" w:hAnsi="Times New Roman" w:eastAsia="仿宋_GB2312" w:cs="Times New Roman"/>
          <w:color w:val="auto"/>
          <w:sz w:val="32"/>
          <w:szCs w:val="32"/>
          <w:highlight w:val="none"/>
          <w:lang w:bidi="ar"/>
        </w:rPr>
        <w:t>&gt;</w:t>
      </w:r>
      <w:r>
        <w:rPr>
          <w:rFonts w:hint="eastAsia" w:ascii="Times New Roman" w:hAnsi="Times New Roman" w:eastAsia="仿宋_GB2312" w:cs="仿宋_GB2312"/>
          <w:color w:val="auto"/>
          <w:sz w:val="32"/>
          <w:szCs w:val="32"/>
          <w:highlight w:val="none"/>
          <w:lang w:bidi="ar"/>
        </w:rPr>
        <w:t>的通知》（财预〔</w:t>
      </w:r>
      <w:r>
        <w:rPr>
          <w:rFonts w:ascii="Times New Roman" w:hAnsi="Times New Roman" w:eastAsia="仿宋_GB2312" w:cs="Times New Roman"/>
          <w:color w:val="auto"/>
          <w:sz w:val="32"/>
          <w:szCs w:val="32"/>
          <w:highlight w:val="none"/>
          <w:lang w:bidi="ar"/>
        </w:rPr>
        <w:t>2017</w:t>
      </w:r>
      <w:r>
        <w:rPr>
          <w:rFonts w:hint="eastAsia" w:ascii="Times New Roman" w:hAnsi="Times New Roman" w:eastAsia="仿宋_GB2312" w:cs="仿宋_GB2312"/>
          <w:color w:val="auto"/>
          <w:sz w:val="32"/>
          <w:szCs w:val="32"/>
          <w:highlight w:val="none"/>
          <w:lang w:bidi="ar"/>
        </w:rPr>
        <w:t>〕</w:t>
      </w:r>
      <w:r>
        <w:rPr>
          <w:rFonts w:ascii="Times New Roman" w:hAnsi="Times New Roman" w:eastAsia="仿宋_GB2312" w:cs="Times New Roman"/>
          <w:color w:val="auto"/>
          <w:sz w:val="32"/>
          <w:szCs w:val="32"/>
          <w:highlight w:val="none"/>
          <w:lang w:bidi="ar"/>
        </w:rPr>
        <w:t>98</w:t>
      </w:r>
      <w:r>
        <w:rPr>
          <w:rFonts w:hint="eastAsia" w:ascii="Times New Roman" w:hAnsi="Times New Roman" w:eastAsia="仿宋_GB2312" w:cs="仿宋_GB2312"/>
          <w:color w:val="auto"/>
          <w:sz w:val="32"/>
          <w:szCs w:val="32"/>
          <w:highlight w:val="none"/>
          <w:lang w:bidi="ar"/>
        </w:rPr>
        <w:t>号）要求，从</w:t>
      </w:r>
      <w:r>
        <w:rPr>
          <w:rFonts w:ascii="Times New Roman" w:hAnsi="Times New Roman" w:eastAsia="仿宋_GB2312" w:cs="Times New Roman"/>
          <w:color w:val="auto"/>
          <w:sz w:val="32"/>
          <w:szCs w:val="32"/>
          <w:highlight w:val="none"/>
          <w:lang w:bidi="ar"/>
        </w:rPr>
        <w:t>2018</w:t>
      </w:r>
      <w:r>
        <w:rPr>
          <w:rFonts w:hint="eastAsia" w:ascii="Times New Roman" w:hAnsi="Times New Roman" w:eastAsia="仿宋_GB2312" w:cs="仿宋_GB2312"/>
          <w:color w:val="auto"/>
          <w:sz w:val="32"/>
          <w:szCs w:val="32"/>
          <w:highlight w:val="none"/>
          <w:lang w:bidi="ar"/>
        </w:rPr>
        <w:t>年起全面实施支出经济分类科目改革，根据政府预算管理和部门预算管理的不同特点，分设部门预算支出经济分类科目和政府预算支出经济分类科目，两套科目之间保持对应关系。我单位《支出经济分类汇总表》</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仿宋_GB2312"/>
          <w:color w:val="auto"/>
          <w:sz w:val="32"/>
          <w:szCs w:val="32"/>
          <w:highlight w:val="none"/>
          <w:lang w:bidi="ar"/>
        </w:rPr>
        <w:t>按两套经济分类科目分别反映不同资金来源的全部预算支出。</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八、</w:t>
      </w:r>
      <w:r>
        <w:rPr>
          <w:rFonts w:hint="eastAsia" w:ascii="Times New Roman" w:hAnsi="Times New Roman" w:eastAsia="仿宋_GB2312" w:cs="Times New Roman"/>
          <w:b/>
          <w:bCs/>
          <w:color w:val="auto"/>
          <w:sz w:val="32"/>
          <w:szCs w:val="32"/>
          <w:highlight w:val="none"/>
        </w:rPr>
        <w:t>一般公共预算“三公”经费支出预算情况说明</w:t>
      </w:r>
    </w:p>
    <w:p>
      <w:pPr>
        <w:shd w:val="clear"/>
        <w:ind w:left="319" w:leftChars="152" w:firstLine="758" w:firstLineChars="237"/>
        <w:rPr>
          <w:rFonts w:ascii="仿宋_GB2312" w:eastAsia="仿宋_GB2312"/>
          <w:color w:val="auto"/>
          <w:sz w:val="32"/>
          <w:szCs w:val="32"/>
          <w:highlight w:val="none"/>
        </w:rPr>
      </w:pPr>
      <w:r>
        <w:rPr>
          <w:rFonts w:hint="eastAsia" w:ascii="仿宋_GB2312" w:eastAsia="仿宋_GB2312"/>
          <w:color w:val="auto"/>
          <w:sz w:val="32"/>
          <w:szCs w:val="32"/>
          <w:highlight w:val="none"/>
        </w:rPr>
        <w:t>2021年“三公”经费预算为</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万元。比2020年减少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hd w:val="clear"/>
        <w:kinsoku w:val="0"/>
        <w:overflowPunct w:val="0"/>
        <w:autoSpaceDE w:val="0"/>
        <w:autoSpaceDN w:val="0"/>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具体支出情况如下：</w:t>
      </w:r>
    </w:p>
    <w:p>
      <w:pPr>
        <w:shd w:val="clear"/>
        <w:kinsoku w:val="0"/>
        <w:overflowPunct w:val="0"/>
        <w:autoSpaceDE w:val="0"/>
        <w:autoSpaceDN w:val="0"/>
        <w:spacing w:line="600" w:lineRule="exact"/>
        <w:ind w:firstLine="643" w:firstLineChars="200"/>
        <w:rPr>
          <w:rFonts w:ascii="Times New Roman" w:hAnsi="Times New Roman" w:eastAsia="仿宋_GB2312" w:cs="Times New Roman"/>
          <w:color w:val="auto"/>
          <w:sz w:val="32"/>
          <w:szCs w:val="32"/>
          <w:highlight w:val="none"/>
        </w:rPr>
      </w:pPr>
      <w:r>
        <w:rPr>
          <w:rFonts w:hint="eastAsia" w:ascii="仿宋_GB2312" w:eastAsia="仿宋_GB2312"/>
          <w:b/>
          <w:bCs/>
          <w:color w:val="auto"/>
          <w:sz w:val="32"/>
          <w:szCs w:val="32"/>
          <w:highlight w:val="none"/>
        </w:rPr>
        <w:t>因公出国（境）费0万元</w:t>
      </w:r>
      <w:r>
        <w:rPr>
          <w:rFonts w:hint="eastAsia" w:ascii="仿宋_GB2312" w:eastAsia="仿宋_GB2312"/>
          <w:color w:val="auto"/>
          <w:sz w:val="32"/>
          <w:szCs w:val="32"/>
          <w:highlight w:val="none"/>
        </w:rPr>
        <w:t>，</w:t>
      </w:r>
      <w:r>
        <w:rPr>
          <w:rFonts w:hint="eastAsia" w:ascii="Times New Roman" w:hAnsi="Times New Roman" w:eastAsia="仿宋_GB2312" w:cs="仿宋_GB2312"/>
          <w:color w:val="auto"/>
          <w:sz w:val="32"/>
          <w:szCs w:val="32"/>
          <w:highlight w:val="none"/>
          <w:lang w:bidi="ar"/>
        </w:rPr>
        <w:t>主要用于单位工作人员公务出国（境）的住宿费、差旅费、伙食补助费、杂费、培训费等支出。预算数比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hint="eastAsia" w:ascii="Times New Roman" w:hAnsi="Times New Roman" w:eastAsia="仿宋_GB2312" w:cs="仿宋_GB2312"/>
          <w:color w:val="auto"/>
          <w:sz w:val="32"/>
          <w:szCs w:val="32"/>
          <w:highlight w:val="none"/>
          <w:lang w:bidi="ar"/>
        </w:rPr>
        <w:t>年保持一致。</w:t>
      </w:r>
    </w:p>
    <w:p>
      <w:pPr>
        <w:shd w:val="clear"/>
        <w:ind w:left="19" w:leftChars="9" w:firstLine="623" w:firstLineChars="194"/>
        <w:rPr>
          <w:rFonts w:ascii="仿宋_GB2312" w:eastAsia="仿宋_GB2312"/>
          <w:color w:val="auto"/>
          <w:sz w:val="32"/>
          <w:szCs w:val="32"/>
          <w:highlight w:val="none"/>
        </w:rPr>
      </w:pPr>
      <w:r>
        <w:rPr>
          <w:rFonts w:hint="eastAsia" w:ascii="仿宋_GB2312" w:eastAsia="仿宋_GB2312"/>
          <w:b/>
          <w:bCs/>
          <w:color w:val="auto"/>
          <w:sz w:val="32"/>
          <w:szCs w:val="32"/>
          <w:highlight w:val="none"/>
        </w:rPr>
        <w:t>公务用车购置费及维护费</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，其中，</w:t>
      </w:r>
      <w:r>
        <w:rPr>
          <w:rFonts w:hint="eastAsia" w:ascii="Times New Roman" w:hAnsi="Times New Roman" w:eastAsia="仿宋_GB2312" w:cs="Times New Roman"/>
          <w:color w:val="auto"/>
          <w:sz w:val="32"/>
          <w:szCs w:val="32"/>
          <w:highlight w:val="none"/>
          <w:lang w:bidi="ar"/>
        </w:rPr>
        <w:t>公务用车购置费</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仿宋_GB2312" w:eastAsia="仿宋_GB2312"/>
          <w:color w:val="auto"/>
          <w:sz w:val="32"/>
          <w:szCs w:val="32"/>
          <w:highlight w:val="none"/>
        </w:rPr>
        <w:t>公务用车维护费</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Times New Roman" w:hAnsi="Times New Roman" w:eastAsia="仿宋_GB2312" w:cs="Times New Roman"/>
          <w:color w:val="auto"/>
          <w:sz w:val="32"/>
          <w:szCs w:val="32"/>
          <w:highlight w:val="none"/>
          <w:lang w:bidi="ar"/>
        </w:rPr>
        <w:t>主要用于开展工作所需公务用车的燃料费、维修费、过路过桥费、保险费等支出。公务用车购置费预算数与</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年持平，均为</w:t>
      </w:r>
      <w:r>
        <w:rPr>
          <w:rFonts w:ascii="Times New Roman" w:hAnsi="Times New Roman" w:eastAsia="仿宋_GB2312" w:cs="Times New Roman"/>
          <w:color w:val="auto"/>
          <w:sz w:val="32"/>
          <w:szCs w:val="32"/>
          <w:highlight w:val="none"/>
          <w:lang w:bidi="ar"/>
        </w:rPr>
        <w:t>0</w:t>
      </w:r>
      <w:r>
        <w:rPr>
          <w:rFonts w:hint="eastAsia" w:ascii="Times New Roman" w:hAnsi="Times New Roman" w:eastAsia="仿宋_GB2312" w:cs="Times New Roman"/>
          <w:color w:val="auto"/>
          <w:sz w:val="32"/>
          <w:szCs w:val="32"/>
          <w:highlight w:val="none"/>
          <w:lang w:bidi="ar"/>
        </w:rPr>
        <w:t>万元。公务用车运行维护费预算数比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万元。主要原因：</w:t>
      </w:r>
      <w:r>
        <w:rPr>
          <w:rFonts w:hint="eastAsia" w:ascii="Times New Roman" w:hAnsi="Times New Roman" w:eastAsia="仿宋_GB2312" w:cs="Times New Roman"/>
          <w:color w:val="auto"/>
          <w:sz w:val="32"/>
          <w:szCs w:val="32"/>
          <w:highlight w:val="none"/>
          <w:lang w:val="en-US" w:eastAsia="zh-CN" w:bidi="ar"/>
        </w:rPr>
        <w:t>本单位无公务用车</w:t>
      </w:r>
      <w:r>
        <w:rPr>
          <w:rFonts w:hint="eastAsia" w:ascii="Times New Roman" w:hAnsi="Times New Roman" w:eastAsia="仿宋_GB2312" w:cs="Times New Roman"/>
          <w:color w:val="auto"/>
          <w:sz w:val="32"/>
          <w:szCs w:val="32"/>
          <w:highlight w:val="none"/>
          <w:lang w:bidi="ar"/>
        </w:rPr>
        <w:t>。</w:t>
      </w:r>
    </w:p>
    <w:p>
      <w:pPr>
        <w:shd w:val="clear"/>
        <w:ind w:left="19" w:leftChars="9" w:firstLine="623" w:firstLineChars="194"/>
        <w:rPr>
          <w:rFonts w:hint="default" w:ascii="仿宋_GB2312" w:eastAsia="仿宋_GB2312"/>
          <w:b/>
          <w:color w:val="auto"/>
          <w:sz w:val="32"/>
          <w:szCs w:val="32"/>
          <w:highlight w:val="none"/>
          <w:lang w:eastAsia="zh-Hans"/>
        </w:rPr>
      </w:pPr>
      <w:r>
        <w:rPr>
          <w:rFonts w:hint="eastAsia" w:ascii="仿宋_GB2312" w:eastAsia="仿宋_GB2312"/>
          <w:b/>
          <w:bCs/>
          <w:color w:val="auto"/>
          <w:sz w:val="32"/>
          <w:szCs w:val="32"/>
          <w:highlight w:val="none"/>
        </w:rPr>
        <w:t>公务接待费</w:t>
      </w:r>
      <w:r>
        <w:rPr>
          <w:rFonts w:hint="eastAsia" w:ascii="仿宋_GB2312" w:eastAsia="仿宋_GB2312"/>
          <w:b/>
          <w:bCs/>
          <w:color w:val="auto"/>
          <w:sz w:val="32"/>
          <w:szCs w:val="32"/>
          <w:highlight w:val="none"/>
          <w:lang w:val="en-US" w:eastAsia="zh-CN"/>
        </w:rPr>
        <w:t>5</w:t>
      </w:r>
      <w:r>
        <w:rPr>
          <w:rFonts w:hint="eastAsia" w:ascii="仿宋_GB2312" w:eastAsia="仿宋_GB2312"/>
          <w:b/>
          <w:bCs/>
          <w:color w:val="auto"/>
          <w:sz w:val="32"/>
          <w:szCs w:val="32"/>
          <w:highlight w:val="none"/>
        </w:rPr>
        <w:t>万元</w:t>
      </w:r>
      <w:r>
        <w:rPr>
          <w:rFonts w:hint="eastAsia" w:ascii="仿宋_GB2312" w:eastAsia="仿宋_GB2312"/>
          <w:color w:val="auto"/>
          <w:sz w:val="32"/>
          <w:szCs w:val="32"/>
          <w:highlight w:val="none"/>
        </w:rPr>
        <w:t>。</w:t>
      </w:r>
      <w:r>
        <w:rPr>
          <w:rFonts w:hint="eastAsia" w:ascii="Times New Roman" w:hAnsi="Times New Roman" w:eastAsia="仿宋_GB2312" w:cs="Times New Roman"/>
          <w:color w:val="auto"/>
          <w:sz w:val="32"/>
          <w:szCs w:val="32"/>
          <w:highlight w:val="none"/>
          <w:lang w:bidi="ar"/>
        </w:rPr>
        <w:t>主要用于按规定开支的各类公务接待支出。预算数比</w:t>
      </w:r>
      <w:r>
        <w:rPr>
          <w:rFonts w:ascii="Times New Roman" w:hAnsi="Times New Roman" w:eastAsia="仿宋_GB2312" w:cs="Times New Roman"/>
          <w:color w:val="auto"/>
          <w:sz w:val="32"/>
          <w:szCs w:val="32"/>
          <w:highlight w:val="none"/>
          <w:lang w:bidi="ar"/>
        </w:rPr>
        <w:t xml:space="preserve"> </w:t>
      </w:r>
      <w:r>
        <w:rPr>
          <w:rFonts w:hint="eastAsia" w:ascii="Times New Roman" w:hAnsi="Times New Roman" w:eastAsia="仿宋_GB2312" w:cs="Times New Roman"/>
          <w:color w:val="auto"/>
          <w:sz w:val="32"/>
          <w:szCs w:val="32"/>
          <w:highlight w:val="none"/>
          <w:lang w:bidi="ar"/>
        </w:rPr>
        <w:t>2020年减少</w:t>
      </w:r>
      <w:r>
        <w:rPr>
          <w:rFonts w:hint="eastAsia" w:ascii="Times New Roman" w:hAnsi="Times New Roman" w:eastAsia="仿宋_GB2312" w:cs="Times New Roman"/>
          <w:color w:val="auto"/>
          <w:sz w:val="32"/>
          <w:szCs w:val="32"/>
          <w:highlight w:val="none"/>
          <w:lang w:val="en-US" w:eastAsia="zh-CN" w:bidi="ar"/>
        </w:rPr>
        <w:t>0</w:t>
      </w:r>
      <w:r>
        <w:rPr>
          <w:rFonts w:hint="eastAsia" w:ascii="Times New Roman" w:hAnsi="Times New Roman" w:eastAsia="仿宋_GB2312" w:cs="Times New Roman"/>
          <w:color w:val="auto"/>
          <w:sz w:val="32"/>
          <w:szCs w:val="32"/>
          <w:highlight w:val="none"/>
          <w:lang w:bidi="ar"/>
        </w:rPr>
        <w:t>万元。</w:t>
      </w:r>
      <w:r>
        <w:rPr>
          <w:rFonts w:hint="eastAsia" w:ascii="Times New Roman" w:hAnsi="Times New Roman" w:eastAsia="仿宋_GB2312" w:cs="仿宋_GB2312"/>
          <w:color w:val="auto"/>
          <w:sz w:val="32"/>
          <w:szCs w:val="32"/>
          <w:highlight w:val="none"/>
          <w:lang w:val="en-US" w:eastAsia="zh-Hans" w:bidi="ar"/>
        </w:rPr>
        <w:t>主要原因是</w:t>
      </w:r>
      <w:r>
        <w:rPr>
          <w:rFonts w:hint="default" w:ascii="Times New Roman" w:hAnsi="Times New Roman" w:eastAsia="仿宋_GB2312" w:cs="仿宋_GB2312"/>
          <w:color w:val="auto"/>
          <w:sz w:val="32"/>
          <w:szCs w:val="32"/>
          <w:highlight w:val="none"/>
          <w:lang w:eastAsia="zh-Hans" w:bidi="ar"/>
        </w:rPr>
        <w:t>：</w:t>
      </w:r>
      <w:r>
        <w:rPr>
          <w:rFonts w:hint="eastAsia" w:ascii="Times New Roman" w:hAnsi="Times New Roman" w:eastAsia="仿宋_GB2312" w:cs="仿宋_GB2312"/>
          <w:color w:val="auto"/>
          <w:sz w:val="32"/>
          <w:szCs w:val="32"/>
          <w:highlight w:val="none"/>
          <w:lang w:val="en-US" w:eastAsia="zh-Hans" w:bidi="ar"/>
        </w:rPr>
        <w:t>本单位为新增预算单位</w:t>
      </w:r>
      <w:r>
        <w:rPr>
          <w:rFonts w:hint="default" w:ascii="Times New Roman" w:hAnsi="Times New Roman" w:eastAsia="仿宋_GB2312" w:cs="仿宋_GB2312"/>
          <w:color w:val="auto"/>
          <w:sz w:val="32"/>
          <w:szCs w:val="32"/>
          <w:highlight w:val="none"/>
          <w:lang w:eastAsia="zh-Hans" w:bidi="ar"/>
        </w:rPr>
        <w:t>。</w:t>
      </w:r>
    </w:p>
    <w:p>
      <w:pPr>
        <w:shd w:val="clear"/>
        <w:ind w:firstLine="640" w:firstLineChars="200"/>
        <w:rPr>
          <w:rFonts w:ascii="黑体" w:eastAsia="黑体"/>
          <w:color w:val="auto"/>
          <w:sz w:val="32"/>
          <w:szCs w:val="32"/>
          <w:highlight w:val="none"/>
        </w:rPr>
      </w:pPr>
      <w:r>
        <w:rPr>
          <w:rFonts w:hint="eastAsia" w:ascii="黑体" w:eastAsia="黑体"/>
          <w:color w:val="auto"/>
          <w:sz w:val="32"/>
          <w:szCs w:val="32"/>
          <w:highlight w:val="none"/>
        </w:rPr>
        <w:t>九、政府性基金预算支出预算情况说明</w:t>
      </w:r>
    </w:p>
    <w:p>
      <w:pPr>
        <w:shd w:val="clear"/>
        <w:ind w:firstLine="70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2021年没有使用政府性基金预算拨款安排的支出。</w:t>
      </w:r>
    </w:p>
    <w:p>
      <w:pPr>
        <w:shd w:val="clear"/>
        <w:ind w:firstLine="709"/>
        <w:rPr>
          <w:rFonts w:ascii="黑体" w:eastAsia="黑体"/>
          <w:color w:val="auto"/>
          <w:sz w:val="32"/>
          <w:szCs w:val="32"/>
          <w:highlight w:val="none"/>
        </w:rPr>
      </w:pPr>
      <w:r>
        <w:rPr>
          <w:rFonts w:hint="eastAsia" w:ascii="黑体" w:eastAsia="黑体"/>
          <w:color w:val="auto"/>
          <w:sz w:val="32"/>
          <w:szCs w:val="32"/>
          <w:highlight w:val="none"/>
        </w:rPr>
        <w:t>十、其他重要事项的情况说明</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（一）机关运行经费支出情况说明</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我单位不是行政机关，也不是参照公务员管理事业单位，没有机关运行经费支出。</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（二）政府采购支出情况</w:t>
      </w:r>
    </w:p>
    <w:p>
      <w:pPr>
        <w:shd w:val="clear"/>
        <w:ind w:firstLine="70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2021年无政府采购预算安排。</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（三）绩效目标设置情况</w:t>
      </w:r>
    </w:p>
    <w:p>
      <w:pPr>
        <w:shd w:val="clear"/>
        <w:ind w:left="319" w:leftChars="152" w:firstLine="758" w:firstLineChars="237"/>
        <w:rPr>
          <w:rFonts w:hint="eastAsia" w:ascii="仿宋_GB2312" w:eastAsia="仿宋_GB2312"/>
          <w:sz w:val="32"/>
          <w:szCs w:val="32"/>
        </w:rPr>
      </w:pPr>
      <w:r>
        <w:rPr>
          <w:rFonts w:hint="eastAsia" w:ascii="仿宋_GB2312" w:eastAsia="仿宋_GB2312"/>
          <w:sz w:val="32"/>
          <w:szCs w:val="32"/>
        </w:rPr>
        <w:t>我单位2021年预算，暂未进行项目预算绩效管理</w:t>
      </w:r>
      <w:r>
        <w:rPr>
          <w:rFonts w:hint="eastAsia" w:ascii="仿宋_GB2312" w:eastAsia="仿宋_GB2312"/>
          <w:sz w:val="32"/>
          <w:szCs w:val="32"/>
          <w:lang w:val="en-US" w:eastAsia="zh-Hans"/>
        </w:rPr>
        <w:t>工</w:t>
      </w:r>
      <w:r>
        <w:rPr>
          <w:rFonts w:hint="eastAsia" w:ascii="仿宋_GB2312" w:eastAsia="仿宋_GB2312"/>
          <w:sz w:val="32"/>
          <w:szCs w:val="32"/>
        </w:rPr>
        <w:t>作。</w:t>
      </w:r>
    </w:p>
    <w:p>
      <w:pPr>
        <w:shd w:val="clear"/>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（四）国有资产占用情况</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2020年期末，我</w:t>
      </w:r>
      <w:r>
        <w:rPr>
          <w:rFonts w:hint="eastAsia" w:ascii="仿宋_GB2312" w:eastAsia="仿宋_GB2312"/>
          <w:color w:val="auto"/>
          <w:sz w:val="32"/>
          <w:szCs w:val="32"/>
          <w:highlight w:val="none"/>
          <w:lang w:val="en-US" w:eastAsia="zh-CN"/>
        </w:rPr>
        <w:t>校</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辆，其中：一般公务用车</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、一般执法执勤车辆</w:t>
      </w:r>
      <w:r>
        <w:rPr>
          <w:rFonts w:hint="eastAsia" w:ascii="仿宋_GB2312" w:eastAsia="仿宋_GB2312"/>
          <w:color w:val="auto"/>
          <w:sz w:val="32"/>
          <w:szCs w:val="32"/>
          <w:highlight w:val="none"/>
          <w:lang w:val="en-US" w:eastAsia="zh-CN"/>
        </w:rPr>
        <w:t>0辆、特种专业技术用车0辆、其他用车0辆，其他用车主要是离退休干部用车0辆、应急保障车辆 0辆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单价50万元以上通用设备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，单位价值100万元以上专用设备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套</w:t>
      </w:r>
      <w:r>
        <w:rPr>
          <w:rFonts w:hint="eastAsia" w:ascii="仿宋_GB2312" w:eastAsia="仿宋_GB2312"/>
          <w:color w:val="auto"/>
          <w:sz w:val="32"/>
          <w:szCs w:val="32"/>
          <w:highlight w:val="none"/>
        </w:rPr>
        <w:t>。</w:t>
      </w:r>
    </w:p>
    <w:p>
      <w:pPr>
        <w:shd w:val="clear"/>
        <w:ind w:firstLine="709"/>
        <w:rPr>
          <w:rFonts w:ascii="仿宋_GB2312" w:eastAsia="仿宋_GB2312"/>
          <w:b/>
          <w:color w:val="auto"/>
          <w:sz w:val="32"/>
          <w:szCs w:val="32"/>
          <w:highlight w:val="none"/>
        </w:rPr>
      </w:pPr>
      <w:r>
        <w:rPr>
          <w:rFonts w:hint="eastAsia" w:ascii="仿宋_GB2312" w:eastAsia="仿宋_GB2312"/>
          <w:b/>
          <w:color w:val="auto"/>
          <w:sz w:val="32"/>
          <w:szCs w:val="32"/>
          <w:highlight w:val="none"/>
        </w:rPr>
        <w:t>（五）专项转移支付情况</w:t>
      </w:r>
    </w:p>
    <w:p>
      <w:pPr>
        <w:shd w:val="clear"/>
        <w:ind w:firstLine="700" w:firstLineChars="21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我单位暂</w:t>
      </w:r>
      <w:r>
        <w:rPr>
          <w:rFonts w:hint="eastAsia" w:ascii="仿宋_GB2312" w:eastAsia="仿宋_GB2312"/>
          <w:color w:val="auto"/>
          <w:sz w:val="32"/>
          <w:szCs w:val="32"/>
          <w:highlight w:val="none"/>
          <w:lang w:val="en-US" w:eastAsia="zh-CN"/>
        </w:rPr>
        <w:t>无</w:t>
      </w:r>
      <w:r>
        <w:rPr>
          <w:rFonts w:hint="eastAsia" w:ascii="仿宋_GB2312" w:eastAsia="仿宋_GB2312"/>
          <w:color w:val="auto"/>
          <w:sz w:val="32"/>
          <w:szCs w:val="32"/>
          <w:highlight w:val="none"/>
        </w:rPr>
        <w:t>负责的专项转移支付项目</w:t>
      </w:r>
      <w:r>
        <w:rPr>
          <w:rFonts w:hint="eastAsia" w:ascii="仿宋_GB2312" w:eastAsia="仿宋_GB2312"/>
          <w:color w:val="auto"/>
          <w:sz w:val="32"/>
          <w:szCs w:val="32"/>
          <w:highlight w:val="none"/>
          <w:lang w:eastAsia="zh-CN"/>
        </w:rPr>
        <w:t>。</w:t>
      </w:r>
    </w:p>
    <w:p>
      <w:pPr>
        <w:shd w:val="clear"/>
        <w:ind w:firstLine="709"/>
        <w:jc w:val="center"/>
        <w:rPr>
          <w:rFonts w:ascii="黑体" w:eastAsia="黑体" w:hAnsiTheme="majorEastAsia"/>
          <w:color w:val="auto"/>
          <w:sz w:val="32"/>
          <w:szCs w:val="32"/>
          <w:highlight w:val="none"/>
        </w:rPr>
      </w:pPr>
      <w:r>
        <w:rPr>
          <w:rFonts w:hint="eastAsia" w:ascii="黑体" w:eastAsia="黑体" w:hAnsiTheme="majorEastAsia"/>
          <w:color w:val="auto"/>
          <w:sz w:val="32"/>
          <w:szCs w:val="32"/>
          <w:highlight w:val="none"/>
        </w:rPr>
        <w:t>第三部分 名词解释</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一、财政拨款收入：是指市级财政当年拨付的资金。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二、财政专户管理资金：是指缴入财政专户、实行专项管理的</w:t>
      </w:r>
      <w:r>
        <w:rPr>
          <w:rFonts w:hint="eastAsia" w:ascii="仿宋_GB2312" w:eastAsia="仿宋_GB2312"/>
          <w:color w:val="auto"/>
          <w:sz w:val="32"/>
          <w:szCs w:val="32"/>
          <w:highlight w:val="none"/>
          <w:lang w:eastAsia="zh-CN"/>
        </w:rPr>
        <w:t>初中</w:t>
      </w:r>
      <w:r>
        <w:rPr>
          <w:rFonts w:hint="eastAsia" w:ascii="仿宋_GB2312" w:eastAsia="仿宋_GB2312"/>
          <w:color w:val="auto"/>
          <w:sz w:val="32"/>
          <w:szCs w:val="32"/>
          <w:highlight w:val="none"/>
        </w:rPr>
        <w:t>以上学费、住宿费、高校委托培训费、函大、电大、夜大及短期培训费等教育收费。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三、事业收入：是指事业单位开展专业活动及辅助活动所取得的收入，不包括教育收费。</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四、事业单位经营收入：是指事业单位在专业业务活动及其辅助活动之外开展独立核算经营活动取得的收入。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五、其他收入：是指单位取得的除“财政拨款”、“事业收入”、“事业单位经营收入”等以外的收入。</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七、基本支出：是指为保障机构正常运转、完成日常工作任务所必需的开支，其内容包括人员经费和日常公用经费两部分。</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八、项目支出：是指在基本支出之外，为完成特定的行政工作任务或事业发展目标所发生的支出。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九、“三公”经费：是指纳入本级财政预算管理，单位使用财政拨款安排的因公出国（境）费、公务用车购置及运行费和公务接待费。其中，因公出国（境）费反映单位公务出国（境）的住宿费、</w:t>
      </w:r>
      <w:r>
        <w:rPr>
          <w:rFonts w:hint="eastAsia" w:ascii="Times New Roman" w:hAnsi="Times New Roman" w:eastAsia="仿宋_GB2312" w:cs="仿宋_GB2312"/>
          <w:color w:val="auto"/>
          <w:sz w:val="32"/>
          <w:szCs w:val="32"/>
          <w:highlight w:val="none"/>
          <w:lang w:bidi="ar"/>
        </w:rPr>
        <w:t>差</w:t>
      </w:r>
      <w:r>
        <w:rPr>
          <w:rFonts w:hint="eastAsia" w:ascii="仿宋_GB2312" w:eastAsia="仿宋_GB2312"/>
          <w:color w:val="auto"/>
          <w:sz w:val="32"/>
          <w:szCs w:val="32"/>
          <w:highlight w:val="none"/>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hd w:val="clear"/>
        <w:ind w:firstLine="709"/>
        <w:rPr>
          <w:rFonts w:ascii="仿宋_GB2312" w:eastAsia="仿宋_GB2312"/>
          <w:color w:val="auto"/>
          <w:sz w:val="32"/>
          <w:szCs w:val="32"/>
          <w:highlight w:val="none"/>
        </w:rPr>
      </w:pPr>
      <w:r>
        <w:rPr>
          <w:rFonts w:hint="eastAsia" w:ascii="仿宋_GB2312" w:eastAsia="仿宋_GB2312"/>
          <w:color w:val="auto"/>
          <w:sz w:val="32"/>
          <w:szCs w:val="32"/>
          <w:highlight w:val="none"/>
        </w:rPr>
        <w:t>十、</w:t>
      </w:r>
      <w:r>
        <w:rPr>
          <w:rFonts w:hint="eastAsia" w:ascii="仿宋_GB2312" w:eastAsia="仿宋_GB2312"/>
          <w:bCs/>
          <w:color w:val="auto"/>
          <w:sz w:val="32"/>
          <w:szCs w:val="32"/>
          <w:highlight w:val="none"/>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hd w:val="clear"/>
        <w:ind w:firstLine="709"/>
        <w:rPr>
          <w:rFonts w:ascii="仿宋_GB2312" w:eastAsia="仿宋_GB2312"/>
          <w:color w:val="auto"/>
          <w:sz w:val="32"/>
          <w:szCs w:val="32"/>
          <w:highlight w:val="none"/>
        </w:rPr>
      </w:pPr>
    </w:p>
    <w:p>
      <w:pPr>
        <w:shd w:val="clear"/>
        <w:ind w:firstLine="426"/>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附件：2021年度单位预算表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一、单位收支总体情况表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二、单位收入总体情况表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三、单位支出总体情况表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四、财政拨款收支总体情况表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五、一般公共预算支出情况表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六、一般公共预算基本支出情况表</w:t>
      </w:r>
    </w:p>
    <w:p>
      <w:pPr>
        <w:shd w:val="clear"/>
        <w:snapToGrid w:val="0"/>
        <w:ind w:firstLine="426"/>
        <w:rPr>
          <w:rFonts w:ascii="仿宋_GB2312" w:eastAsia="仿宋_GB2312"/>
          <w:color w:val="auto"/>
          <w:sz w:val="32"/>
          <w:szCs w:val="32"/>
          <w:highlight w:val="none"/>
        </w:rPr>
      </w:pPr>
      <w:r>
        <w:rPr>
          <w:rFonts w:hint="eastAsia" w:ascii="仿宋_GB2312" w:eastAsia="仿宋_GB2312"/>
          <w:color w:val="auto"/>
          <w:sz w:val="32"/>
          <w:szCs w:val="32"/>
          <w:highlight w:val="none"/>
        </w:rPr>
        <w:t>七、一般公共预算“三公”经费支出情况表</w:t>
      </w:r>
    </w:p>
    <w:p>
      <w:pPr>
        <w:shd w:val="clear"/>
        <w:snapToGrid w:val="0"/>
        <w:ind w:firstLine="426"/>
        <w:rPr>
          <w:rFonts w:ascii="仿宋_GB2312" w:eastAsia="仿宋_GB2312" w:hAnsiTheme="majorEastAsia"/>
          <w:color w:val="auto"/>
          <w:sz w:val="32"/>
          <w:szCs w:val="32"/>
          <w:highlight w:val="none"/>
        </w:rPr>
      </w:pPr>
      <w:r>
        <w:rPr>
          <w:rFonts w:hint="eastAsia" w:ascii="仿宋_GB2312" w:eastAsia="仿宋_GB2312"/>
          <w:color w:val="auto"/>
          <w:sz w:val="32"/>
          <w:szCs w:val="32"/>
          <w:highlight w:val="none"/>
        </w:rPr>
        <w:t>八、政府性基金预算支出情况表</w:t>
      </w:r>
    </w:p>
    <w:p>
      <w:pPr>
        <w:shd w:val="clear"/>
        <w:snapToGrid w:val="0"/>
        <w:spacing w:line="360" w:lineRule="auto"/>
        <w:ind w:firstLine="425" w:firstLineChars="133"/>
        <w:rPr>
          <w:rFonts w:hint="eastAsia" w:ascii="仿宋_GB2312" w:eastAsia="仿宋_GB2312" w:hAnsiTheme="majorEastAsia"/>
          <w:color w:val="auto"/>
          <w:sz w:val="32"/>
          <w:szCs w:val="32"/>
          <w:highlight w:val="none"/>
        </w:rPr>
      </w:pPr>
      <w:r>
        <w:rPr>
          <w:rFonts w:hint="eastAsia" w:ascii="仿宋_GB2312" w:eastAsia="仿宋_GB2312" w:hAnsiTheme="majorEastAsia"/>
          <w:color w:val="auto"/>
          <w:sz w:val="32"/>
          <w:szCs w:val="32"/>
          <w:highlight w:val="none"/>
        </w:rPr>
        <w:t>九、支出经济分类汇总表</w:t>
      </w:r>
    </w:p>
    <w:p>
      <w:pPr>
        <w:shd w:val="clear"/>
        <w:ind w:firstLine="426"/>
        <w:rPr>
          <w:rFonts w:hint="default" w:ascii="仿宋_GB2312" w:eastAsia="仿宋_GB2312" w:hAnsiTheme="majorEastAsia"/>
          <w:color w:val="auto"/>
          <w:sz w:val="32"/>
          <w:szCs w:val="32"/>
          <w:highlight w:val="none"/>
        </w:rPr>
      </w:pPr>
      <w:r>
        <w:rPr>
          <w:rFonts w:hint="default" w:ascii="仿宋_GB2312" w:eastAsia="仿宋_GB2312" w:hAnsiTheme="majorEastAsia"/>
          <w:color w:val="auto"/>
          <w:sz w:val="32"/>
          <w:szCs w:val="32"/>
          <w:highlight w:val="none"/>
        </w:rPr>
        <w:object>
          <v:shape id="_x0000_i1027" o:spt="75" type="#_x0000_t75" style="height:120pt;width:120pt;" o:ole="t" filled="f" o:preferrelative="t" stroked="f" coordsize="21600,21600">
            <v:fill on="f" focussize="0,0"/>
            <v:stroke on="f"/>
            <v:imagedata r:id="rId6" o:title="oleimage"/>
            <o:lock v:ext="edit" aspectratio="t"/>
            <w10:wrap type="none"/>
            <w10:anchorlock/>
          </v:shape>
          <o:OLEObject Type="Embed" ProgID="Excel.Sheet.12" ShapeID="_x0000_i1027" DrawAspect="Icon" ObjectID="_1468075725" r:id="rId5">
            <o:LockedField>false</o:LockedField>
          </o:OLEObject>
        </w:objec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2010601030101010101"/>
    <w:charset w:val="86"/>
    <w:family w:val="script"/>
    <w:pitch w:val="default"/>
    <w:sig w:usb0="00000000" w:usb1="00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3AB1"/>
    <w:multiLevelType w:val="multilevel"/>
    <w:tmpl w:val="10A23A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8E665B"/>
    <w:multiLevelType w:val="singleLevel"/>
    <w:tmpl w:val="268E665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00164"/>
    <w:rsid w:val="00031516"/>
    <w:rsid w:val="00054BD9"/>
    <w:rsid w:val="000A21F8"/>
    <w:rsid w:val="00163512"/>
    <w:rsid w:val="00197CC4"/>
    <w:rsid w:val="002A31EF"/>
    <w:rsid w:val="002F2F0E"/>
    <w:rsid w:val="00311D42"/>
    <w:rsid w:val="00373D7B"/>
    <w:rsid w:val="003A0929"/>
    <w:rsid w:val="003A3239"/>
    <w:rsid w:val="003F497C"/>
    <w:rsid w:val="00470C6C"/>
    <w:rsid w:val="004B5D7D"/>
    <w:rsid w:val="004F7768"/>
    <w:rsid w:val="00514787"/>
    <w:rsid w:val="00545A43"/>
    <w:rsid w:val="00564FBA"/>
    <w:rsid w:val="005B595D"/>
    <w:rsid w:val="00630DFF"/>
    <w:rsid w:val="00671A9B"/>
    <w:rsid w:val="006857C5"/>
    <w:rsid w:val="0068696D"/>
    <w:rsid w:val="006C648E"/>
    <w:rsid w:val="006E0667"/>
    <w:rsid w:val="00715345"/>
    <w:rsid w:val="00763A9E"/>
    <w:rsid w:val="007A79BD"/>
    <w:rsid w:val="0083133B"/>
    <w:rsid w:val="008747E3"/>
    <w:rsid w:val="00921CA8"/>
    <w:rsid w:val="00972071"/>
    <w:rsid w:val="00984F09"/>
    <w:rsid w:val="009A0537"/>
    <w:rsid w:val="009D0D41"/>
    <w:rsid w:val="00A527E7"/>
    <w:rsid w:val="00AC7B36"/>
    <w:rsid w:val="00AD7AE6"/>
    <w:rsid w:val="00BC6702"/>
    <w:rsid w:val="00D72B10"/>
    <w:rsid w:val="00E0218D"/>
    <w:rsid w:val="00E13A03"/>
    <w:rsid w:val="00ED2B32"/>
    <w:rsid w:val="00F937EB"/>
    <w:rsid w:val="04C24CD3"/>
    <w:rsid w:val="057D0223"/>
    <w:rsid w:val="05F750B9"/>
    <w:rsid w:val="066D0C7E"/>
    <w:rsid w:val="06BE1DED"/>
    <w:rsid w:val="07EC657B"/>
    <w:rsid w:val="0BAE11B5"/>
    <w:rsid w:val="0C956DB9"/>
    <w:rsid w:val="0CA827D1"/>
    <w:rsid w:val="0D0A4958"/>
    <w:rsid w:val="0E763694"/>
    <w:rsid w:val="0E8B0118"/>
    <w:rsid w:val="10BB1A3D"/>
    <w:rsid w:val="10D93902"/>
    <w:rsid w:val="11F148A3"/>
    <w:rsid w:val="12220CEE"/>
    <w:rsid w:val="12616F90"/>
    <w:rsid w:val="12686164"/>
    <w:rsid w:val="136F6984"/>
    <w:rsid w:val="14C56AEA"/>
    <w:rsid w:val="17024C77"/>
    <w:rsid w:val="1BF57D8E"/>
    <w:rsid w:val="1C6B678C"/>
    <w:rsid w:val="1E1C1FAB"/>
    <w:rsid w:val="205F1D02"/>
    <w:rsid w:val="20F53F6B"/>
    <w:rsid w:val="21172D08"/>
    <w:rsid w:val="25097E0B"/>
    <w:rsid w:val="2D780E48"/>
    <w:rsid w:val="3168305B"/>
    <w:rsid w:val="37586A93"/>
    <w:rsid w:val="37740D13"/>
    <w:rsid w:val="39CE1876"/>
    <w:rsid w:val="3AEB3A7E"/>
    <w:rsid w:val="3BBC1D2C"/>
    <w:rsid w:val="3DB812AD"/>
    <w:rsid w:val="41040419"/>
    <w:rsid w:val="423D3584"/>
    <w:rsid w:val="446059C4"/>
    <w:rsid w:val="471314C5"/>
    <w:rsid w:val="48EC3681"/>
    <w:rsid w:val="4A183A49"/>
    <w:rsid w:val="4B17485A"/>
    <w:rsid w:val="4B540996"/>
    <w:rsid w:val="4B86067F"/>
    <w:rsid w:val="4B901AAA"/>
    <w:rsid w:val="4CB25A45"/>
    <w:rsid w:val="4DC340C1"/>
    <w:rsid w:val="4EB23847"/>
    <w:rsid w:val="4F4E22B8"/>
    <w:rsid w:val="53DF42CD"/>
    <w:rsid w:val="55BF499C"/>
    <w:rsid w:val="55CA7913"/>
    <w:rsid w:val="576B0713"/>
    <w:rsid w:val="58802D5A"/>
    <w:rsid w:val="59CD76D7"/>
    <w:rsid w:val="5A7054A3"/>
    <w:rsid w:val="5A9E72FD"/>
    <w:rsid w:val="5AB45193"/>
    <w:rsid w:val="5CA8687F"/>
    <w:rsid w:val="5D6525EB"/>
    <w:rsid w:val="60AF768B"/>
    <w:rsid w:val="60D15B65"/>
    <w:rsid w:val="60D3160D"/>
    <w:rsid w:val="67471495"/>
    <w:rsid w:val="67CE4CEE"/>
    <w:rsid w:val="6AA309C2"/>
    <w:rsid w:val="6B001859"/>
    <w:rsid w:val="6DD00BE6"/>
    <w:rsid w:val="6F920B9B"/>
    <w:rsid w:val="6F9B7A32"/>
    <w:rsid w:val="72356867"/>
    <w:rsid w:val="72CE3402"/>
    <w:rsid w:val="7701693E"/>
    <w:rsid w:val="77FE99CF"/>
    <w:rsid w:val="784E5460"/>
    <w:rsid w:val="78BD42BC"/>
    <w:rsid w:val="79D11516"/>
    <w:rsid w:val="7A0415DC"/>
    <w:rsid w:val="7B530E71"/>
    <w:rsid w:val="7CA378FF"/>
    <w:rsid w:val="7CAB2C00"/>
    <w:rsid w:val="BFFD087E"/>
    <w:rsid w:val="F75D5F15"/>
    <w:rsid w:val="FAFBB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452</Words>
  <Characters>2579</Characters>
  <Lines>21</Lines>
  <Paragraphs>6</Paragraphs>
  <TotalTime>9</TotalTime>
  <ScaleCrop>false</ScaleCrop>
  <LinksUpToDate>false</LinksUpToDate>
  <CharactersWithSpaces>3025</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2019-09-17T11:24:00Z</dcterms:created>
  <dc:creator>null,null,总收发</dc:creator>
  <cp:lastModifiedBy>小胖钰</cp:lastModifiedBy>
  <cp:lastPrinted>2022-05-19T10:02:00Z</cp:lastPrinted>
  <dcterms:modified xsi:type="dcterms:W3CDTF">2022-09-01T11:08:06Z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91133620AB0A0359153B0B63008FE2BF</vt:lpwstr>
  </property>
</Properties>
</file>