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w:t>
      </w:r>
      <w:r>
        <w:rPr>
          <w:rFonts w:ascii="方正小标宋简体" w:hAnsi="黑体" w:eastAsia="方正小标宋简体"/>
          <w:w w:val="90"/>
          <w:sz w:val="44"/>
          <w:szCs w:val="32"/>
        </w:rPr>
        <w:t>1</w:t>
      </w:r>
      <w:r>
        <w:rPr>
          <w:rFonts w:hint="eastAsia" w:ascii="方正小标宋简体" w:hAnsi="黑体" w:eastAsia="方正小标宋简体"/>
          <w:w w:val="90"/>
          <w:sz w:val="44"/>
          <w:szCs w:val="32"/>
        </w:rPr>
        <w:t>年特殊教育学校</w:t>
      </w:r>
    </w:p>
    <w:p>
      <w:pPr>
        <w:jc w:val="center"/>
        <w:textAlignment w:val="baseline"/>
        <w:rPr>
          <w:rFonts w:hint="eastAsia"/>
          <w:b/>
          <w:sz w:val="28"/>
          <w:szCs w:val="32"/>
        </w:rPr>
      </w:pPr>
      <w:r>
        <w:rPr>
          <w:rFonts w:hint="eastAsia" w:ascii="方正小标宋简体" w:hAnsi="黑体" w:eastAsia="方正小标宋简体"/>
          <w:w w:val="90"/>
          <w:sz w:val="44"/>
          <w:szCs w:val="32"/>
        </w:rPr>
        <w:t>单位预算基本情况说明</w:t>
      </w:r>
    </w:p>
    <w:p>
      <w:pPr>
        <w:jc w:val="center"/>
        <w:textAlignment w:val="baseline"/>
        <w:rPr>
          <w:rFonts w:hint="eastAsia" w:ascii="黑体" w:eastAsia="黑体"/>
          <w:sz w:val="36"/>
          <w:szCs w:val="32"/>
        </w:rPr>
      </w:pPr>
      <w:r>
        <w:rPr>
          <w:rFonts w:hint="eastAsia" w:ascii="黑体" w:eastAsia="黑体"/>
          <w:sz w:val="36"/>
          <w:szCs w:val="32"/>
        </w:rPr>
        <w:t>目  录</w:t>
      </w:r>
    </w:p>
    <w:p>
      <w:pPr>
        <w:spacing w:before="312"/>
        <w:jc w:val="left"/>
        <w:textAlignment w:val="baseline"/>
        <w:rPr>
          <w:rFonts w:hint="eastAsia" w:ascii="黑体" w:eastAsia="黑体"/>
          <w:sz w:val="32"/>
          <w:szCs w:val="32"/>
        </w:rPr>
      </w:pPr>
      <w:r>
        <w:rPr>
          <w:rFonts w:hint="eastAsia" w:ascii="黑体" w:eastAsia="黑体"/>
          <w:sz w:val="32"/>
          <w:szCs w:val="32"/>
        </w:rPr>
        <w:t>第一部分  邓州市特殊教育学校单位概况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jc w:val="left"/>
        <w:textAlignment w:val="baseline"/>
        <w:rPr>
          <w:rFonts w:ascii="仿宋_GB2312" w:eastAsia="仿宋_GB2312" w:hAnsiTheme="majorEastAsia"/>
          <w:sz w:val="32"/>
          <w:szCs w:val="32"/>
        </w:rPr>
      </w:pPr>
      <w:r>
        <w:rPr>
          <w:rFonts w:hint="eastAsia" w:ascii="仿宋_GB2312" w:eastAsia="仿宋_GB2312" w:hAnsiTheme="majorEastAsia"/>
          <w:sz w:val="32"/>
          <w:szCs w:val="32"/>
        </w:rPr>
        <w:t>二、单位所属预算单位构成情况</w:t>
      </w:r>
    </w:p>
    <w:p>
      <w:pPr>
        <w:jc w:val="left"/>
        <w:textAlignment w:val="baseline"/>
        <w:rPr>
          <w:rFonts w:hint="eastAsia" w:ascii="黑体" w:eastAsia="黑体"/>
          <w:sz w:val="32"/>
          <w:szCs w:val="32"/>
        </w:rPr>
      </w:pPr>
      <w:r>
        <w:rPr>
          <w:rFonts w:hint="eastAsia" w:ascii="黑体" w:eastAsia="黑体"/>
          <w:sz w:val="32"/>
          <w:szCs w:val="32"/>
        </w:rPr>
        <w:t>第二部分 邓州市特殊教育学校202</w:t>
      </w:r>
      <w:r>
        <w:rPr>
          <w:rFonts w:ascii="黑体" w:eastAsia="黑体"/>
          <w:sz w:val="32"/>
          <w:szCs w:val="32"/>
        </w:rPr>
        <w:t>1</w:t>
      </w:r>
      <w:r>
        <w:rPr>
          <w:rFonts w:hint="eastAsia" w:ascii="黑体" w:eastAsia="黑体"/>
          <w:sz w:val="32"/>
          <w:szCs w:val="32"/>
        </w:rPr>
        <w:t>年</w:t>
      </w:r>
      <w:r>
        <w:rPr>
          <w:rFonts w:hint="eastAsia" w:ascii="黑体" w:hAnsi="黑体" w:eastAsia="黑体" w:cs="黑体"/>
          <w:sz w:val="32"/>
          <w:szCs w:val="32"/>
        </w:rPr>
        <w:t>单位</w:t>
      </w:r>
      <w:r>
        <w:rPr>
          <w:rFonts w:hint="eastAsia" w:ascii="黑体" w:eastAsia="黑体"/>
          <w:sz w:val="32"/>
          <w:szCs w:val="32"/>
        </w:rPr>
        <w:t>预算情况说明</w:t>
      </w:r>
    </w:p>
    <w:p>
      <w:pPr>
        <w:jc w:val="left"/>
        <w:textAlignment w:val="baseline"/>
        <w:rPr>
          <w:rFonts w:hint="eastAsia" w:ascii="黑体" w:eastAsia="黑体"/>
          <w:sz w:val="32"/>
          <w:szCs w:val="32"/>
        </w:rPr>
      </w:pPr>
      <w:r>
        <w:rPr>
          <w:rFonts w:hint="eastAsia" w:ascii="黑体" w:eastAsia="黑体"/>
          <w:sz w:val="32"/>
          <w:szCs w:val="32"/>
        </w:rPr>
        <w:t>第三部分 名词解释</w:t>
      </w:r>
    </w:p>
    <w:p>
      <w:pPr>
        <w:ind w:firstLine="426"/>
        <w:textAlignment w:val="baseline"/>
        <w:rPr>
          <w:rFonts w:hint="eastAsia" w:ascii="仿宋_GB2312" w:eastAsia="仿宋_GB2312"/>
          <w:b/>
          <w:bCs/>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b/>
          <w:bCs/>
          <w:sz w:val="32"/>
          <w:szCs w:val="32"/>
        </w:rPr>
        <w:t xml:space="preserve"> 2021年度单位预算表</w:t>
      </w:r>
    </w:p>
    <w:p>
      <w:pPr>
        <w:keepNext w:val="0"/>
        <w:keepLines w:val="0"/>
        <w:pageBreakBefore w:val="0"/>
        <w:widowControl w:val="0"/>
        <w:kinsoku/>
        <w:wordWrap/>
        <w:overflowPunct/>
        <w:topLinePunct w:val="0"/>
        <w:autoSpaceDE/>
        <w:autoSpaceDN/>
        <w:bidi w:val="0"/>
        <w:adjustRightInd/>
        <w:snapToGrid w:val="0"/>
        <w:spacing w:line="360" w:lineRule="auto"/>
        <w:ind w:firstLine="425"/>
        <w:textAlignment w:val="baseline"/>
        <w:rPr>
          <w:rFonts w:hint="eastAsia" w:ascii="仿宋_GB2312" w:eastAsia="仿宋_GB2312"/>
          <w:sz w:val="32"/>
          <w:szCs w:val="32"/>
        </w:rPr>
      </w:pPr>
      <w:r>
        <w:rPr>
          <w:rFonts w:hint="eastAsia" w:ascii="仿宋_GB2312" w:eastAsia="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val="0"/>
        <w:spacing w:line="360" w:lineRule="auto"/>
        <w:ind w:firstLine="425"/>
        <w:textAlignment w:val="baseline"/>
        <w:rPr>
          <w:rFonts w:hint="eastAsia" w:ascii="仿宋_GB2312" w:eastAsia="仿宋_GB2312"/>
          <w:sz w:val="32"/>
          <w:szCs w:val="32"/>
        </w:rPr>
      </w:pPr>
      <w:r>
        <w:rPr>
          <w:rFonts w:hint="eastAsia" w:ascii="仿宋_GB2312" w:eastAsia="仿宋_GB2312"/>
          <w:sz w:val="32"/>
          <w:szCs w:val="32"/>
        </w:rPr>
        <w:t>二、单位收入总体情况表</w:t>
      </w:r>
    </w:p>
    <w:p>
      <w:pPr>
        <w:keepNext w:val="0"/>
        <w:keepLines w:val="0"/>
        <w:pageBreakBefore w:val="0"/>
        <w:widowControl w:val="0"/>
        <w:kinsoku/>
        <w:wordWrap/>
        <w:overflowPunct/>
        <w:topLinePunct w:val="0"/>
        <w:autoSpaceDE/>
        <w:autoSpaceDN/>
        <w:bidi w:val="0"/>
        <w:adjustRightInd/>
        <w:snapToGrid w:val="0"/>
        <w:spacing w:line="360" w:lineRule="auto"/>
        <w:ind w:firstLine="425"/>
        <w:textAlignment w:val="baseline"/>
        <w:rPr>
          <w:rFonts w:hint="eastAsia" w:ascii="仿宋_GB2312" w:eastAsia="仿宋_GB2312"/>
          <w:sz w:val="32"/>
          <w:szCs w:val="32"/>
        </w:rPr>
      </w:pPr>
      <w:r>
        <w:rPr>
          <w:rFonts w:hint="eastAsia" w:ascii="仿宋_GB2312" w:eastAsia="仿宋_GB2312"/>
          <w:sz w:val="32"/>
          <w:szCs w:val="32"/>
        </w:rPr>
        <w:t>三、单位支出总体情况表</w:t>
      </w:r>
    </w:p>
    <w:p>
      <w:pPr>
        <w:keepNext w:val="0"/>
        <w:keepLines w:val="0"/>
        <w:pageBreakBefore w:val="0"/>
        <w:widowControl w:val="0"/>
        <w:kinsoku/>
        <w:wordWrap/>
        <w:overflowPunct/>
        <w:topLinePunct w:val="0"/>
        <w:autoSpaceDE/>
        <w:autoSpaceDN/>
        <w:bidi w:val="0"/>
        <w:adjustRightInd/>
        <w:snapToGrid w:val="0"/>
        <w:spacing w:line="360" w:lineRule="auto"/>
        <w:ind w:firstLine="425"/>
        <w:textAlignment w:val="baseline"/>
        <w:rPr>
          <w:rFonts w:hint="eastAsia" w:ascii="仿宋_GB2312" w:eastAsia="仿宋_GB2312"/>
          <w:sz w:val="32"/>
          <w:szCs w:val="32"/>
        </w:rPr>
      </w:pPr>
      <w:r>
        <w:rPr>
          <w:rFonts w:hint="eastAsia" w:ascii="仿宋_GB2312" w:eastAsia="仿宋_GB2312"/>
          <w:sz w:val="32"/>
          <w:szCs w:val="32"/>
        </w:rPr>
        <w:t>四、财政拨款收支总体情况表</w:t>
      </w:r>
    </w:p>
    <w:p>
      <w:pPr>
        <w:keepNext w:val="0"/>
        <w:keepLines w:val="0"/>
        <w:pageBreakBefore w:val="0"/>
        <w:widowControl w:val="0"/>
        <w:kinsoku/>
        <w:wordWrap/>
        <w:overflowPunct/>
        <w:topLinePunct w:val="0"/>
        <w:autoSpaceDE/>
        <w:autoSpaceDN/>
        <w:bidi w:val="0"/>
        <w:adjustRightInd/>
        <w:snapToGrid w:val="0"/>
        <w:spacing w:line="360" w:lineRule="auto"/>
        <w:ind w:firstLine="425"/>
        <w:textAlignment w:val="baseline"/>
        <w:rPr>
          <w:rFonts w:hint="eastAsia" w:ascii="仿宋_GB2312" w:eastAsia="仿宋_GB2312"/>
          <w:sz w:val="32"/>
          <w:szCs w:val="32"/>
        </w:rPr>
      </w:pPr>
      <w:r>
        <w:rPr>
          <w:rFonts w:hint="eastAsia" w:ascii="仿宋_GB2312" w:eastAsia="仿宋_GB2312"/>
          <w:sz w:val="32"/>
          <w:szCs w:val="32"/>
        </w:rPr>
        <w:t>五、一般公共预算支出情况表</w:t>
      </w:r>
    </w:p>
    <w:p>
      <w:pPr>
        <w:keepNext w:val="0"/>
        <w:keepLines w:val="0"/>
        <w:pageBreakBefore w:val="0"/>
        <w:widowControl w:val="0"/>
        <w:kinsoku/>
        <w:wordWrap/>
        <w:overflowPunct/>
        <w:topLinePunct w:val="0"/>
        <w:autoSpaceDE/>
        <w:autoSpaceDN/>
        <w:bidi w:val="0"/>
        <w:adjustRightInd/>
        <w:snapToGrid w:val="0"/>
        <w:spacing w:line="360" w:lineRule="auto"/>
        <w:ind w:firstLine="425"/>
        <w:textAlignment w:val="baseline"/>
        <w:rPr>
          <w:rFonts w:hint="eastAsia" w:ascii="仿宋_GB2312" w:eastAsia="仿宋_GB2312"/>
          <w:sz w:val="32"/>
          <w:szCs w:val="32"/>
        </w:rPr>
      </w:pPr>
      <w:r>
        <w:rPr>
          <w:rFonts w:hint="eastAsia" w:ascii="仿宋_GB2312" w:eastAsia="仿宋_GB2312"/>
          <w:sz w:val="32"/>
          <w:szCs w:val="32"/>
        </w:rPr>
        <w:t>六、一般公共预算基本支出情况表</w:t>
      </w:r>
    </w:p>
    <w:p>
      <w:pPr>
        <w:keepNext w:val="0"/>
        <w:keepLines w:val="0"/>
        <w:pageBreakBefore w:val="0"/>
        <w:widowControl w:val="0"/>
        <w:kinsoku/>
        <w:wordWrap/>
        <w:overflowPunct/>
        <w:topLinePunct w:val="0"/>
        <w:autoSpaceDE/>
        <w:autoSpaceDN/>
        <w:bidi w:val="0"/>
        <w:adjustRightInd/>
        <w:snapToGrid w:val="0"/>
        <w:spacing w:line="360" w:lineRule="auto"/>
        <w:ind w:firstLine="425"/>
        <w:textAlignment w:val="baseline"/>
        <w:rPr>
          <w:rFonts w:hint="eastAsia" w:ascii="仿宋_GB2312" w:eastAsia="仿宋_GB2312"/>
          <w:sz w:val="32"/>
          <w:szCs w:val="32"/>
        </w:rPr>
      </w:pPr>
      <w:r>
        <w:rPr>
          <w:rFonts w:hint="eastAsia" w:ascii="仿宋_GB2312" w:eastAsia="仿宋_GB2312"/>
          <w:sz w:val="32"/>
          <w:szCs w:val="32"/>
        </w:rPr>
        <w:t>七、一般公共预算“三公”经费支出情况表</w:t>
      </w:r>
    </w:p>
    <w:p>
      <w:pPr>
        <w:keepNext w:val="0"/>
        <w:keepLines w:val="0"/>
        <w:pageBreakBefore w:val="0"/>
        <w:widowControl w:val="0"/>
        <w:kinsoku/>
        <w:wordWrap/>
        <w:overflowPunct/>
        <w:topLinePunct w:val="0"/>
        <w:autoSpaceDE/>
        <w:autoSpaceDN/>
        <w:bidi w:val="0"/>
        <w:adjustRightInd/>
        <w:snapToGrid w:val="0"/>
        <w:spacing w:line="360" w:lineRule="auto"/>
        <w:ind w:firstLine="425"/>
        <w:textAlignment w:val="baseline"/>
        <w:rPr>
          <w:rFonts w:hint="eastAsia" w:ascii="仿宋_GB2312" w:eastAsia="仿宋_GB2312"/>
          <w:sz w:val="32"/>
          <w:szCs w:val="32"/>
        </w:rPr>
      </w:pPr>
      <w:r>
        <w:rPr>
          <w:rFonts w:hint="eastAsia" w:ascii="仿宋_GB2312" w:eastAsia="仿宋_GB2312"/>
          <w:sz w:val="32"/>
          <w:szCs w:val="32"/>
        </w:rPr>
        <w:t>八、政府性基金支出情况表</w:t>
      </w:r>
    </w:p>
    <w:p>
      <w:pPr>
        <w:keepNext w:val="0"/>
        <w:keepLines w:val="0"/>
        <w:pageBreakBefore w:val="0"/>
        <w:widowControl w:val="0"/>
        <w:kinsoku/>
        <w:wordWrap/>
        <w:overflowPunct/>
        <w:topLinePunct w:val="0"/>
        <w:autoSpaceDE/>
        <w:autoSpaceDN/>
        <w:bidi w:val="0"/>
        <w:adjustRightInd/>
        <w:snapToGrid w:val="0"/>
        <w:spacing w:line="360" w:lineRule="auto"/>
        <w:ind w:firstLine="425"/>
        <w:textAlignment w:val="baseline"/>
        <w:rPr>
          <w:rFonts w:hint="eastAsia" w:ascii="仿宋_GB2312" w:eastAsia="仿宋_GB2312"/>
          <w:sz w:val="32"/>
          <w:szCs w:val="32"/>
        </w:rPr>
      </w:pPr>
      <w:r>
        <w:rPr>
          <w:rFonts w:hint="eastAsia" w:ascii="仿宋_GB2312" w:eastAsia="仿宋_GB2312"/>
          <w:sz w:val="32"/>
          <w:szCs w:val="32"/>
        </w:rPr>
        <w:t>九、支出经济分类汇总表</w:t>
      </w:r>
    </w:p>
    <w:p>
      <w:pPr>
        <w:rPr>
          <w:rFonts w:hint="eastAsia" w:ascii="仿宋_GB2312" w:eastAsia="仿宋_GB2312"/>
          <w:b/>
          <w:sz w:val="32"/>
          <w:szCs w:val="32"/>
        </w:rPr>
      </w:pPr>
    </w:p>
    <w:p>
      <w:pPr>
        <w:rPr>
          <w:rFonts w:hint="eastAsia" w:ascii="仿宋_GB2312" w:eastAsia="仿宋_GB2312"/>
          <w:b/>
          <w:sz w:val="32"/>
          <w:szCs w:val="32"/>
        </w:rPr>
      </w:pPr>
    </w:p>
    <w:p>
      <w:pPr>
        <w:jc w:val="center"/>
        <w:textAlignment w:val="baseline"/>
        <w:rPr>
          <w:rFonts w:hint="eastAsia" w:ascii="黑体" w:eastAsia="黑体"/>
          <w:sz w:val="32"/>
          <w:szCs w:val="32"/>
        </w:rPr>
      </w:pPr>
      <w:r>
        <w:rPr>
          <w:rFonts w:hint="eastAsia" w:ascii="黑体" w:eastAsia="黑体"/>
          <w:sz w:val="32"/>
          <w:szCs w:val="32"/>
        </w:rPr>
        <w:t>第一部分</w:t>
      </w:r>
    </w:p>
    <w:p>
      <w:pPr>
        <w:jc w:val="center"/>
        <w:textAlignment w:val="baseline"/>
        <w:rPr>
          <w:rFonts w:hint="eastAsia" w:ascii="黑体" w:eastAsia="黑体"/>
          <w:sz w:val="32"/>
          <w:szCs w:val="32"/>
        </w:rPr>
      </w:pPr>
      <w:r>
        <w:rPr>
          <w:rFonts w:hint="eastAsia" w:ascii="黑体" w:eastAsia="黑体"/>
          <w:sz w:val="32"/>
          <w:szCs w:val="32"/>
        </w:rPr>
        <w:t>邓州市特殊教育学校</w:t>
      </w:r>
      <w:r>
        <w:rPr>
          <w:rFonts w:hint="eastAsia" w:ascii="黑体" w:hAnsi="黑体" w:eastAsia="黑体" w:cs="黑体"/>
          <w:sz w:val="32"/>
          <w:szCs w:val="32"/>
        </w:rPr>
        <w:t>单位</w:t>
      </w:r>
      <w:r>
        <w:rPr>
          <w:rFonts w:hint="eastAsia" w:ascii="黑体" w:eastAsia="黑体"/>
          <w:sz w:val="32"/>
          <w:szCs w:val="32"/>
        </w:rPr>
        <w:t>概况</w:t>
      </w:r>
    </w:p>
    <w:p>
      <w:pPr>
        <w:textAlignment w:val="baseline"/>
        <w:rPr>
          <w:rFonts w:hint="eastAsia" w:ascii="仿宋_GB2312" w:eastAsia="仿宋_GB2312"/>
          <w:b/>
          <w:sz w:val="32"/>
          <w:szCs w:val="32"/>
        </w:rPr>
      </w:pPr>
    </w:p>
    <w:p>
      <w:pPr>
        <w:numPr>
          <w:ilvl w:val="0"/>
          <w:numId w:val="2"/>
        </w:numPr>
        <w:ind w:firstLine="566" w:firstLineChars="177"/>
        <w:textAlignment w:val="baseline"/>
        <w:rPr>
          <w:rFonts w:hint="eastAsia" w:ascii="黑体" w:eastAsia="黑体"/>
          <w:sz w:val="32"/>
          <w:szCs w:val="32"/>
        </w:rPr>
      </w:pPr>
      <w:r>
        <w:rPr>
          <w:rFonts w:hint="eastAsia" w:ascii="黑体" w:eastAsia="黑体"/>
          <w:sz w:val="32"/>
          <w:szCs w:val="32"/>
        </w:rPr>
        <w:t>主要职责</w:t>
      </w:r>
    </w:p>
    <w:p>
      <w:pPr>
        <w:ind w:firstLine="640" w:firstLineChars="200"/>
        <w:textAlignment w:val="baseline"/>
        <w:rPr>
          <w:rFonts w:hint="eastAsia" w:ascii="黑体" w:eastAsia="黑体"/>
          <w:sz w:val="32"/>
          <w:szCs w:val="32"/>
        </w:rPr>
      </w:pPr>
      <w:r>
        <w:rPr>
          <w:rFonts w:hint="eastAsia" w:ascii="仿宋_GB2312" w:eastAsia="仿宋_GB2312"/>
          <w:sz w:val="32"/>
          <w:szCs w:val="32"/>
        </w:rPr>
        <w:t>实施小学初中义务教育，促进基础教育发展，初中学历教育</w:t>
      </w:r>
      <w:r>
        <w:rPr>
          <w:rFonts w:hint="eastAsia" w:ascii="黑体" w:eastAsia="黑体"/>
          <w:sz w:val="32"/>
          <w:szCs w:val="32"/>
        </w:rPr>
        <w:t>。</w:t>
      </w:r>
    </w:p>
    <w:p>
      <w:pPr>
        <w:ind w:firstLine="566" w:firstLineChars="177"/>
        <w:textAlignment w:val="baseline"/>
        <w:rPr>
          <w:rFonts w:hint="eastAsia" w:ascii="黑体" w:eastAsia="黑体"/>
          <w:sz w:val="32"/>
          <w:szCs w:val="32"/>
        </w:rPr>
      </w:pPr>
      <w:r>
        <w:rPr>
          <w:rFonts w:hint="eastAsia" w:ascii="黑体" w:eastAsia="黑体"/>
          <w:sz w:val="32"/>
          <w:szCs w:val="32"/>
        </w:rPr>
        <w:t>二、邓州市特殊教育学校单位预算单位构成情况</w:t>
      </w:r>
    </w:p>
    <w:p>
      <w:pPr>
        <w:ind w:firstLine="566" w:firstLineChars="177"/>
        <w:rPr>
          <w:rFonts w:hint="default" w:ascii="仿宋_GB2312" w:eastAsia="仿宋_GB2312"/>
          <w:sz w:val="32"/>
          <w:szCs w:val="32"/>
        </w:rPr>
      </w:pPr>
      <w:r>
        <w:rPr>
          <w:rFonts w:hint="eastAsia" w:ascii="仿宋_GB2312" w:eastAsia="仿宋_GB2312"/>
          <w:sz w:val="32"/>
          <w:szCs w:val="32"/>
        </w:rPr>
        <w:t>邓州市特殊教育学</w:t>
      </w:r>
      <w:r>
        <w:rPr>
          <w:rFonts w:hint="eastAsia" w:ascii="仿宋_GB2312" w:eastAsia="仿宋_GB2312"/>
          <w:sz w:val="32"/>
          <w:szCs w:val="32"/>
          <w:lang w:val="en-US" w:eastAsia="zh-Hans"/>
        </w:rPr>
        <w:t>校</w:t>
      </w:r>
      <w:r>
        <w:rPr>
          <w:rFonts w:hint="eastAsia" w:ascii="仿宋_GB2312" w:eastAsia="仿宋_GB2312"/>
          <w:sz w:val="32"/>
          <w:szCs w:val="32"/>
        </w:rPr>
        <w:t>内设机构3个，包括：政务处、教务处、后勤处</w:t>
      </w:r>
      <w:r>
        <w:rPr>
          <w:rFonts w:hint="default" w:ascii="仿宋_GB2312" w:eastAsia="仿宋_GB2312"/>
          <w:sz w:val="32"/>
          <w:szCs w:val="32"/>
        </w:rPr>
        <w:t>。</w:t>
      </w:r>
    </w:p>
    <w:p>
      <w:pPr>
        <w:ind w:firstLine="566" w:firstLineChars="177"/>
        <w:rPr>
          <w:rFonts w:hint="eastAsia" w:ascii="仿宋_GB2312" w:eastAsia="仿宋_GB2312"/>
          <w:sz w:val="32"/>
          <w:szCs w:val="32"/>
        </w:rPr>
      </w:pPr>
    </w:p>
    <w:p>
      <w:pPr>
        <w:jc w:val="center"/>
        <w:textAlignment w:val="baseline"/>
        <w:rPr>
          <w:rFonts w:hint="eastAsia" w:ascii="黑体" w:eastAsia="黑体"/>
          <w:sz w:val="32"/>
          <w:szCs w:val="32"/>
        </w:rPr>
      </w:pPr>
      <w:r>
        <w:rPr>
          <w:rFonts w:hint="eastAsia" w:ascii="黑体" w:eastAsia="黑体"/>
          <w:sz w:val="32"/>
          <w:szCs w:val="32"/>
        </w:rPr>
        <w:t>第二部分</w:t>
      </w:r>
    </w:p>
    <w:p>
      <w:pPr>
        <w:jc w:val="center"/>
        <w:textAlignment w:val="baseline"/>
        <w:rPr>
          <w:rFonts w:hint="eastAsia" w:ascii="黑体" w:eastAsia="黑体"/>
          <w:color w:val="FFFFFF" w:themeColor="background1"/>
          <w:sz w:val="32"/>
          <w:szCs w:val="32"/>
        </w:rPr>
      </w:pPr>
      <w:r>
        <w:rPr>
          <w:rFonts w:hint="eastAsia" w:ascii="黑体" w:eastAsia="黑体"/>
          <w:sz w:val="32"/>
          <w:szCs w:val="32"/>
        </w:rPr>
        <w:t>邓州市特殊教育学校202</w:t>
      </w:r>
      <w:r>
        <w:rPr>
          <w:rFonts w:ascii="黑体" w:eastAsia="黑体"/>
          <w:sz w:val="32"/>
          <w:szCs w:val="32"/>
        </w:rPr>
        <w:t>1</w:t>
      </w:r>
      <w:r>
        <w:rPr>
          <w:rFonts w:hint="eastAsia" w:ascii="黑体" w:eastAsia="黑体"/>
          <w:sz w:val="32"/>
          <w:szCs w:val="32"/>
        </w:rPr>
        <w:t>年</w:t>
      </w:r>
      <w:r>
        <w:rPr>
          <w:rFonts w:hint="eastAsia" w:ascii="黑体" w:hAnsi="黑体" w:eastAsia="黑体" w:cs="黑体"/>
          <w:sz w:val="32"/>
          <w:szCs w:val="32"/>
        </w:rPr>
        <w:t>单位</w:t>
      </w:r>
      <w:r>
        <w:rPr>
          <w:rFonts w:hint="eastAsia" w:ascii="黑体" w:eastAsia="黑体"/>
          <w:sz w:val="32"/>
          <w:szCs w:val="32"/>
        </w:rPr>
        <w:t>预算情况说明</w:t>
      </w:r>
    </w:p>
    <w:p>
      <w:pPr>
        <w:spacing w:before="312"/>
        <w:ind w:firstLine="709"/>
        <w:textAlignment w:val="baseline"/>
        <w:rPr>
          <w:rFonts w:hint="eastAsia" w:ascii="黑体" w:eastAsia="黑体"/>
          <w:sz w:val="32"/>
          <w:szCs w:val="32"/>
        </w:rPr>
      </w:pPr>
      <w:r>
        <w:rPr>
          <w:rFonts w:hint="eastAsia" w:ascii="黑体" w:eastAsia="黑体"/>
          <w:sz w:val="32"/>
          <w:szCs w:val="32"/>
        </w:rPr>
        <w:t>一、收入支出预算总体情况说明</w:t>
      </w:r>
    </w:p>
    <w:p>
      <w:pPr>
        <w:ind w:firstLine="640" w:firstLineChars="200"/>
        <w:textAlignment w:val="baseline"/>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年收入总计</w:t>
      </w:r>
      <w:r>
        <w:rPr>
          <w:rFonts w:ascii="仿宋_GB2312" w:eastAsia="仿宋_GB2312"/>
          <w:sz w:val="32"/>
          <w:szCs w:val="32"/>
        </w:rPr>
        <w:t>717</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万元，支出总计</w:t>
      </w:r>
      <w:r>
        <w:rPr>
          <w:rFonts w:ascii="仿宋_GB2312" w:eastAsia="仿宋_GB2312"/>
          <w:sz w:val="32"/>
          <w:szCs w:val="32"/>
        </w:rPr>
        <w:t>717</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万元，与202</w:t>
      </w:r>
      <w:r>
        <w:rPr>
          <w:rFonts w:ascii="仿宋_GB2312" w:eastAsia="仿宋_GB2312"/>
          <w:sz w:val="32"/>
          <w:szCs w:val="32"/>
        </w:rPr>
        <w:t>0</w:t>
      </w:r>
      <w:r>
        <w:rPr>
          <w:rFonts w:hint="eastAsia" w:ascii="仿宋_GB2312" w:eastAsia="仿宋_GB2312"/>
          <w:sz w:val="32"/>
          <w:szCs w:val="32"/>
        </w:rPr>
        <w:t>年相比，收入、支出各增加</w:t>
      </w:r>
      <w:r>
        <w:rPr>
          <w:rFonts w:ascii="仿宋_GB2312" w:eastAsia="仿宋_GB2312"/>
          <w:sz w:val="32"/>
          <w:szCs w:val="32"/>
        </w:rPr>
        <w:t>90</w:t>
      </w:r>
      <w:r>
        <w:rPr>
          <w:rFonts w:hint="eastAsia" w:ascii="仿宋_GB2312" w:eastAsia="仿宋_GB2312"/>
          <w:sz w:val="32"/>
          <w:szCs w:val="32"/>
        </w:rPr>
        <w:t>.</w:t>
      </w:r>
      <w:r>
        <w:rPr>
          <w:rFonts w:ascii="仿宋_GB2312" w:eastAsia="仿宋_GB2312"/>
          <w:sz w:val="32"/>
          <w:szCs w:val="32"/>
        </w:rPr>
        <w:t>77</w:t>
      </w:r>
      <w:r>
        <w:rPr>
          <w:rFonts w:hint="eastAsia" w:ascii="仿宋_GB2312" w:eastAsia="仿宋_GB2312"/>
          <w:sz w:val="32"/>
          <w:szCs w:val="32"/>
        </w:rPr>
        <w:t>万元。主要原因是：财政拨款增加15.99万元，行政事业性收费降低27万元，国有资产(资源)有偿使用收入增加17.76万元，一般性转移支付资金增加84.02万元。</w:t>
      </w:r>
    </w:p>
    <w:p>
      <w:pPr>
        <w:ind w:firstLine="640" w:firstLineChars="200"/>
        <w:textAlignment w:val="baseline"/>
        <w:rPr>
          <w:rFonts w:hint="eastAsia" w:ascii="黑体" w:eastAsia="黑体"/>
          <w:sz w:val="32"/>
          <w:szCs w:val="32"/>
        </w:rPr>
      </w:pPr>
      <w:r>
        <w:rPr>
          <w:rFonts w:ascii="仿宋_GB2312" w:eastAsia="仿宋_GB2312"/>
          <w:sz w:val="32"/>
          <w:szCs w:val="32"/>
        </w:rPr>
        <w:t xml:space="preserve"> </w:t>
      </w:r>
      <w:r>
        <w:rPr>
          <w:rFonts w:hint="eastAsia" w:ascii="黑体" w:eastAsia="黑体"/>
          <w:sz w:val="32"/>
          <w:szCs w:val="32"/>
        </w:rPr>
        <w:t>二、收入预算总体情况说明</w:t>
      </w:r>
    </w:p>
    <w:p>
      <w:pPr>
        <w:ind w:firstLine="707" w:firstLineChars="221"/>
        <w:textAlignment w:val="baseline"/>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年收入预算</w:t>
      </w:r>
      <w:r>
        <w:rPr>
          <w:rFonts w:ascii="仿宋_GB2312" w:eastAsia="仿宋_GB2312"/>
          <w:sz w:val="32"/>
          <w:szCs w:val="32"/>
        </w:rPr>
        <w:t>717</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万元，其中：</w:t>
      </w:r>
      <w:r>
        <w:rPr>
          <w:rFonts w:hint="eastAsia" w:eastAsia="仿宋_GB2312"/>
          <w:sz w:val="32"/>
          <w:szCs w:val="32"/>
        </w:rPr>
        <w:t>一般公共预算收入</w:t>
      </w:r>
      <w:r>
        <w:rPr>
          <w:rFonts w:ascii="仿宋_GB2312" w:eastAsia="仿宋_GB2312"/>
          <w:sz w:val="32"/>
          <w:szCs w:val="32"/>
        </w:rPr>
        <w:t>7</w:t>
      </w:r>
      <w:r>
        <w:rPr>
          <w:rFonts w:hint="default" w:ascii="仿宋_GB2312" w:eastAsia="仿宋_GB2312"/>
          <w:sz w:val="32"/>
          <w:szCs w:val="32"/>
        </w:rPr>
        <w:t>17</w:t>
      </w:r>
      <w:r>
        <w:rPr>
          <w:rFonts w:hint="eastAsia" w:ascii="仿宋_GB2312" w:eastAsia="仿宋_GB2312"/>
          <w:sz w:val="32"/>
          <w:szCs w:val="32"/>
          <w:lang w:val="en-US" w:eastAsia="zh-Hans"/>
        </w:rPr>
        <w:t>.</w:t>
      </w:r>
      <w:r>
        <w:rPr>
          <w:rFonts w:hint="default" w:ascii="仿宋_GB2312" w:eastAsia="仿宋_GB2312"/>
          <w:sz w:val="32"/>
          <w:szCs w:val="32"/>
          <w:lang w:eastAsia="zh-Hans"/>
        </w:rPr>
        <w:t>6</w:t>
      </w:r>
      <w:r>
        <w:rPr>
          <w:rFonts w:hint="eastAsia" w:ascii="仿宋_GB2312" w:eastAsia="仿宋_GB2312"/>
          <w:sz w:val="32"/>
          <w:szCs w:val="32"/>
        </w:rPr>
        <w:t>万元，政府性基金收入0万元，国有资本经营预算收入</w:t>
      </w:r>
      <w:r>
        <w:rPr>
          <w:rFonts w:hint="default" w:ascii="仿宋_GB2312" w:eastAsia="仿宋_GB2312"/>
          <w:sz w:val="32"/>
          <w:szCs w:val="32"/>
        </w:rPr>
        <w:t>0</w:t>
      </w:r>
      <w:r>
        <w:rPr>
          <w:rFonts w:hint="eastAsia" w:ascii="仿宋_GB2312" w:eastAsia="仿宋_GB2312"/>
          <w:sz w:val="32"/>
          <w:szCs w:val="32"/>
        </w:rPr>
        <w:t>万元，财政专户管理资金收入0万元。</w:t>
      </w:r>
    </w:p>
    <w:p>
      <w:pPr>
        <w:ind w:firstLine="709"/>
        <w:textAlignment w:val="baseline"/>
        <w:rPr>
          <w:rFonts w:hint="eastAsia" w:ascii="黑体" w:eastAsia="黑体"/>
          <w:sz w:val="32"/>
          <w:szCs w:val="32"/>
        </w:rPr>
      </w:pPr>
      <w:r>
        <w:rPr>
          <w:rFonts w:hint="eastAsia" w:ascii="黑体" w:eastAsia="黑体"/>
          <w:sz w:val="32"/>
          <w:szCs w:val="32"/>
        </w:rPr>
        <w:t>三、支出预算总体情况说明</w:t>
      </w:r>
    </w:p>
    <w:p>
      <w:pPr>
        <w:ind w:firstLine="709"/>
        <w:textAlignment w:val="baseline"/>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年支出预算</w:t>
      </w:r>
      <w:r>
        <w:rPr>
          <w:rFonts w:ascii="仿宋_GB2312" w:eastAsia="仿宋_GB2312"/>
          <w:sz w:val="32"/>
          <w:szCs w:val="32"/>
        </w:rPr>
        <w:t>717</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万元，其中：基本支出</w:t>
      </w:r>
      <w:r>
        <w:rPr>
          <w:rFonts w:ascii="仿宋_GB2312" w:eastAsia="仿宋_GB2312"/>
          <w:sz w:val="32"/>
          <w:szCs w:val="32"/>
        </w:rPr>
        <w:t>369</w:t>
      </w:r>
      <w:r>
        <w:rPr>
          <w:rFonts w:hint="eastAsia" w:ascii="仿宋_GB2312" w:eastAsia="仿宋_GB2312"/>
          <w:sz w:val="32"/>
          <w:szCs w:val="32"/>
        </w:rPr>
        <w:t>.</w:t>
      </w:r>
      <w:r>
        <w:rPr>
          <w:rFonts w:ascii="仿宋_GB2312" w:eastAsia="仿宋_GB2312"/>
          <w:sz w:val="32"/>
          <w:szCs w:val="32"/>
        </w:rPr>
        <w:t>33</w:t>
      </w:r>
      <w:r>
        <w:rPr>
          <w:rFonts w:hint="eastAsia" w:ascii="仿宋_GB2312" w:eastAsia="仿宋_GB2312"/>
          <w:sz w:val="32"/>
          <w:szCs w:val="32"/>
        </w:rPr>
        <w:t>万元，占年度计划的</w:t>
      </w:r>
      <w:r>
        <w:rPr>
          <w:rFonts w:ascii="仿宋_GB2312" w:eastAsia="仿宋_GB2312"/>
          <w:sz w:val="32"/>
          <w:szCs w:val="32"/>
        </w:rPr>
        <w:t>51</w:t>
      </w:r>
      <w:r>
        <w:rPr>
          <w:rFonts w:hint="eastAsia" w:ascii="仿宋_GB2312" w:eastAsia="仿宋_GB2312"/>
          <w:sz w:val="32"/>
          <w:szCs w:val="32"/>
        </w:rPr>
        <w:t>.</w:t>
      </w:r>
      <w:r>
        <w:rPr>
          <w:rFonts w:ascii="仿宋_GB2312" w:eastAsia="仿宋_GB2312"/>
          <w:sz w:val="32"/>
          <w:szCs w:val="32"/>
        </w:rPr>
        <w:t>47</w:t>
      </w:r>
      <w:r>
        <w:rPr>
          <w:rFonts w:hint="eastAsia" w:ascii="仿宋_GB2312" w:eastAsia="仿宋_GB2312"/>
          <w:sz w:val="32"/>
          <w:szCs w:val="32"/>
        </w:rPr>
        <w:t>%；项目支出</w:t>
      </w:r>
      <w:r>
        <w:rPr>
          <w:rFonts w:ascii="仿宋_GB2312" w:eastAsia="仿宋_GB2312"/>
          <w:sz w:val="32"/>
          <w:szCs w:val="32"/>
        </w:rPr>
        <w:t>348</w:t>
      </w:r>
      <w:r>
        <w:rPr>
          <w:rFonts w:hint="eastAsia" w:ascii="仿宋_GB2312" w:eastAsia="仿宋_GB2312"/>
          <w:sz w:val="32"/>
          <w:szCs w:val="32"/>
        </w:rPr>
        <w:t>.</w:t>
      </w:r>
      <w:r>
        <w:rPr>
          <w:rFonts w:ascii="仿宋_GB2312" w:eastAsia="仿宋_GB2312"/>
          <w:sz w:val="32"/>
          <w:szCs w:val="32"/>
        </w:rPr>
        <w:t>27</w:t>
      </w:r>
      <w:r>
        <w:rPr>
          <w:rFonts w:hint="eastAsia" w:ascii="仿宋_GB2312" w:eastAsia="仿宋_GB2312"/>
          <w:sz w:val="32"/>
          <w:szCs w:val="32"/>
        </w:rPr>
        <w:t>万元，占年度计划的</w:t>
      </w:r>
      <w:r>
        <w:rPr>
          <w:rFonts w:ascii="仿宋_GB2312" w:eastAsia="仿宋_GB2312"/>
          <w:sz w:val="32"/>
          <w:szCs w:val="32"/>
        </w:rPr>
        <w:t>48</w:t>
      </w:r>
      <w:r>
        <w:rPr>
          <w:rFonts w:hint="eastAsia" w:ascii="仿宋_GB2312" w:eastAsia="仿宋_GB2312"/>
          <w:sz w:val="32"/>
          <w:szCs w:val="32"/>
        </w:rPr>
        <w:t>.</w:t>
      </w:r>
      <w:r>
        <w:rPr>
          <w:rFonts w:ascii="仿宋_GB2312" w:eastAsia="仿宋_GB2312"/>
          <w:sz w:val="32"/>
          <w:szCs w:val="32"/>
        </w:rPr>
        <w:t>53</w:t>
      </w:r>
      <w:r>
        <w:rPr>
          <w:rFonts w:hint="eastAsia" w:ascii="仿宋_GB2312" w:eastAsia="仿宋_GB2312"/>
          <w:sz w:val="32"/>
          <w:szCs w:val="32"/>
        </w:rPr>
        <w:t xml:space="preserve">%。 </w:t>
      </w:r>
    </w:p>
    <w:p>
      <w:pPr>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1</w:t>
      </w:r>
      <w:r>
        <w:rPr>
          <w:rFonts w:hint="eastAsia" w:ascii="仿宋_GB2312" w:eastAsia="仿宋_GB2312"/>
          <w:sz w:val="32"/>
          <w:szCs w:val="32"/>
        </w:rPr>
        <w:t>年一般公共预算收支预算</w:t>
      </w:r>
      <w:r>
        <w:rPr>
          <w:rFonts w:ascii="仿宋_GB2312" w:eastAsia="仿宋_GB2312"/>
          <w:sz w:val="32"/>
          <w:szCs w:val="32"/>
        </w:rPr>
        <w:t>717</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万元，政府性基金收支预算0万元，国有资本经营收支预算0万元，与202</w:t>
      </w:r>
      <w:r>
        <w:rPr>
          <w:rFonts w:ascii="仿宋_GB2312" w:eastAsia="仿宋_GB2312"/>
          <w:sz w:val="32"/>
          <w:szCs w:val="32"/>
        </w:rPr>
        <w:t>0</w:t>
      </w:r>
      <w:r>
        <w:rPr>
          <w:rFonts w:hint="eastAsia" w:ascii="仿宋_GB2312" w:eastAsia="仿宋_GB2312"/>
          <w:sz w:val="32"/>
          <w:szCs w:val="32"/>
        </w:rPr>
        <w:t>年相比，收入支出</w:t>
      </w:r>
      <w:r>
        <w:rPr>
          <w:rFonts w:hint="eastAsia" w:ascii="仿宋_GB2312" w:eastAsia="仿宋_GB2312"/>
          <w:color w:val="000000" w:themeColor="text1"/>
          <w:sz w:val="32"/>
          <w:szCs w:val="32"/>
        </w:rPr>
        <w:t>增加</w:t>
      </w:r>
      <w:r>
        <w:rPr>
          <w:rFonts w:ascii="仿宋_GB2312" w:eastAsia="仿宋_GB2312"/>
          <w:sz w:val="32"/>
          <w:szCs w:val="32"/>
        </w:rPr>
        <w:t>90</w:t>
      </w:r>
      <w:r>
        <w:rPr>
          <w:rFonts w:hint="eastAsia" w:ascii="仿宋_GB2312" w:eastAsia="仿宋_GB2312"/>
          <w:sz w:val="32"/>
          <w:szCs w:val="32"/>
        </w:rPr>
        <w:t>.</w:t>
      </w:r>
      <w:r>
        <w:rPr>
          <w:rFonts w:ascii="仿宋_GB2312" w:eastAsia="仿宋_GB2312"/>
          <w:sz w:val="32"/>
          <w:szCs w:val="32"/>
        </w:rPr>
        <w:t>77</w:t>
      </w:r>
      <w:r>
        <w:rPr>
          <w:rFonts w:hint="eastAsia" w:ascii="仿宋_GB2312" w:eastAsia="仿宋_GB2312"/>
          <w:sz w:val="32"/>
          <w:szCs w:val="32"/>
        </w:rPr>
        <w:t>万元。主要原因是：基本支出增加16.65万元，项目支出增加74.12万元。</w:t>
      </w:r>
    </w:p>
    <w:p>
      <w:pPr>
        <w:ind w:firstLine="640" w:firstLineChars="200"/>
        <w:textAlignment w:val="baseline"/>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1年一般公共预算支出年初预算为517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48万元。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369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71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37</w:t>
      </w:r>
      <w:r>
        <w:rPr>
          <w:rFonts w:hint="eastAsia" w:ascii="Times New Roman" w:hAnsi="Times New Roman" w:eastAsia="仿宋_GB2312" w:cs="Times New Roman"/>
          <w:sz w:val="32"/>
          <w:szCs w:val="32"/>
        </w:rPr>
        <w:t>%；项目支出</w:t>
      </w:r>
      <w:r>
        <w:rPr>
          <w:rFonts w:ascii="Times New Roman" w:hAnsi="Times New Roman" w:eastAsia="仿宋_GB2312" w:cs="Times New Roman"/>
          <w:sz w:val="32"/>
          <w:szCs w:val="32"/>
        </w:rPr>
        <w:t>148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 xml:space="preserve">万元，占 </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63</w:t>
      </w:r>
      <w:r>
        <w:rPr>
          <w:rFonts w:hint="eastAsia" w:ascii="Times New Roman" w:hAnsi="Times New Roman" w:eastAsia="仿宋_GB2312" w:cs="Times New Roman"/>
          <w:sz w:val="32"/>
          <w:szCs w:val="32"/>
        </w:rPr>
        <w:t>%。</w:t>
      </w:r>
    </w:p>
    <w:p>
      <w:pPr>
        <w:ind w:firstLine="640" w:firstLineChars="200"/>
        <w:textAlignment w:val="baseline"/>
        <w:rPr>
          <w:rFonts w:hint="eastAsia" w:ascii="黑体" w:hAnsi="黑体" w:eastAsia="黑体" w:cs="Times New Roman"/>
          <w:sz w:val="32"/>
          <w:szCs w:val="32"/>
        </w:rPr>
      </w:pPr>
      <w:r>
        <w:rPr>
          <w:rFonts w:hint="eastAsia" w:ascii="黑体" w:hAnsi="黑体" w:eastAsia="黑体" w:cs="Times New Roman"/>
          <w:sz w:val="32"/>
          <w:szCs w:val="32"/>
          <w:lang w:val="en-US" w:eastAsia="zh-Hans"/>
        </w:rPr>
        <w:t>六</w:t>
      </w:r>
      <w:r>
        <w:rPr>
          <w:rFonts w:hint="default" w:ascii="黑体" w:hAnsi="黑体" w:eastAsia="黑体" w:cs="Times New Roman"/>
          <w:sz w:val="32"/>
          <w:szCs w:val="32"/>
          <w:lang w:eastAsia="zh-Hans"/>
        </w:rPr>
        <w:t>、</w:t>
      </w:r>
      <w:r>
        <w:rPr>
          <w:rFonts w:hint="eastAsia" w:ascii="黑体" w:hAnsi="黑体" w:eastAsia="黑体" w:cs="Times New Roman"/>
          <w:sz w:val="32"/>
          <w:szCs w:val="32"/>
        </w:rPr>
        <w:t>一般公共预算基本支出预算情况说明</w:t>
      </w:r>
    </w:p>
    <w:p>
      <w:pPr>
        <w:ind w:firstLine="709"/>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1年一般公共预算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年初预算为369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33万元。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ascii="Times New Roman" w:hAnsi="Times New Roman" w:eastAsia="仿宋_GB2312" w:cs="Times New Roman"/>
          <w:sz w:val="32"/>
          <w:szCs w:val="32"/>
        </w:rPr>
        <w:t>369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万元，占</w:t>
      </w:r>
      <w:r>
        <w:rPr>
          <w:rFonts w:ascii="Times New Roman" w:hAnsi="Times New Roman" w:eastAsia="仿宋_GB2312" w:cs="Times New Roman"/>
          <w:sz w:val="32"/>
          <w:szCs w:val="32"/>
        </w:rPr>
        <w:t>99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94</w:t>
      </w:r>
      <w:r>
        <w:rPr>
          <w:rFonts w:hint="eastAsia" w:ascii="Times New Roman" w:hAnsi="Times New Roman" w:eastAsia="仿宋_GB2312" w:cs="Times New Roman"/>
          <w:sz w:val="32"/>
          <w:szCs w:val="32"/>
        </w:rPr>
        <w:t>%；公用经费支出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06</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hint="eastAsia" w:ascii="黑体" w:eastAsia="黑体"/>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textAlignment w:val="baseline"/>
        <w:rPr>
          <w:rFonts w:hint="eastAsia" w:ascii="黑体" w:eastAsia="黑体"/>
          <w:sz w:val="32"/>
          <w:szCs w:val="32"/>
        </w:rPr>
      </w:pPr>
      <w:r>
        <w:rPr>
          <w:rFonts w:hint="eastAsia" w:ascii="黑体" w:eastAsia="黑体"/>
          <w:sz w:val="32"/>
          <w:szCs w:val="32"/>
          <w:lang w:val="en-US" w:eastAsia="zh-Hans"/>
        </w:rPr>
        <w:t>八</w:t>
      </w:r>
      <w:r>
        <w:rPr>
          <w:rFonts w:hint="eastAsia" w:ascii="黑体" w:eastAsia="黑体"/>
          <w:sz w:val="32"/>
          <w:szCs w:val="32"/>
        </w:rPr>
        <w:t>、</w:t>
      </w:r>
      <w:r>
        <w:rPr>
          <w:rFonts w:hint="eastAsia" w:ascii="Times New Roman" w:hAnsi="Times New Roman" w:eastAsia="仿宋_GB2312" w:cs="Times New Roman"/>
          <w:b/>
          <w:bCs/>
          <w:sz w:val="32"/>
          <w:szCs w:val="32"/>
        </w:rPr>
        <w:t>一般公共预算“三公”经费支出预算情况说明</w:t>
      </w:r>
    </w:p>
    <w:p>
      <w:pPr>
        <w:ind w:left="319" w:leftChars="152" w:firstLine="755" w:firstLineChars="236"/>
        <w:textAlignment w:val="baseline"/>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年“三公”经费预算为</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万元。比202</w:t>
      </w:r>
      <w:r>
        <w:rPr>
          <w:rFonts w:ascii="仿宋_GB2312" w:eastAsia="仿宋_GB2312"/>
          <w:sz w:val="32"/>
          <w:szCs w:val="32"/>
        </w:rPr>
        <w:t>0</w:t>
      </w:r>
      <w:r>
        <w:rPr>
          <w:rFonts w:hint="eastAsia" w:ascii="仿宋_GB2312" w:eastAsia="仿宋_GB2312"/>
          <w:sz w:val="32"/>
          <w:szCs w:val="32"/>
        </w:rPr>
        <w:t>年减少</w:t>
      </w:r>
      <w:r>
        <w:rPr>
          <w:rFonts w:ascii="仿宋_GB2312" w:eastAsia="仿宋_GB2312"/>
          <w:sz w:val="32"/>
          <w:szCs w:val="32"/>
        </w:rPr>
        <w:t>0</w:t>
      </w:r>
      <w:r>
        <w:rPr>
          <w:rFonts w:hint="eastAsia" w:ascii="仿宋_GB2312" w:eastAsia="仿宋_GB2312"/>
          <w:sz w:val="32"/>
          <w:szCs w:val="32"/>
        </w:rPr>
        <w:t>万元。</w:t>
      </w:r>
    </w:p>
    <w:p>
      <w:pPr>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具体支出情况如下：</w:t>
      </w:r>
    </w:p>
    <w:p>
      <w:pPr>
        <w:spacing w:line="600" w:lineRule="exact"/>
        <w:ind w:firstLine="643" w:firstLineChars="200"/>
        <w:textAlignment w:val="baseline"/>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w:t>
      </w:r>
      <w:r>
        <w:rPr>
          <w:rFonts w:hint="eastAsia" w:ascii="Times New Roman" w:hAnsi="Times New Roman" w:eastAsia="仿宋_GB2312" w:cs="Times New Roman"/>
          <w:sz w:val="32"/>
          <w:szCs w:val="32"/>
        </w:rPr>
        <w:t>与2020</w:t>
      </w:r>
      <w:r>
        <w:rPr>
          <w:rFonts w:hint="eastAsia" w:ascii="Times New Roman" w:hAnsi="Times New Roman" w:eastAsia="仿宋_GB2312" w:cs="仿宋_GB2312"/>
          <w:sz w:val="32"/>
          <w:szCs w:val="32"/>
        </w:rPr>
        <w:t>年保持一致。</w:t>
      </w:r>
    </w:p>
    <w:p>
      <w:pPr>
        <w:ind w:left="19" w:leftChars="9" w:firstLine="623" w:firstLineChars="194"/>
        <w:textAlignment w:val="baseline"/>
        <w:rPr>
          <w:rFonts w:hint="eastAsia" w:ascii="仿宋_GB2312" w:eastAsia="仿宋_GB2312"/>
          <w:sz w:val="32"/>
          <w:szCs w:val="32"/>
        </w:rPr>
      </w:pPr>
      <w:r>
        <w:rPr>
          <w:rFonts w:hint="eastAsia" w:ascii="仿宋_GB2312" w:eastAsia="仿宋_GB2312"/>
          <w:b/>
          <w:bCs/>
          <w:sz w:val="32"/>
          <w:szCs w:val="32"/>
        </w:rPr>
        <w:t>公务用车购置费及维护费 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 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2020年持平，均为0万元。公务用车运行维护费预算数比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2020年持平，均为0万元。主要原因：厉行勤俭节约，压减公务用车运行维护费。</w:t>
      </w:r>
    </w:p>
    <w:p>
      <w:pPr>
        <w:ind w:left="19" w:leftChars="9" w:firstLine="623" w:firstLineChars="194"/>
        <w:textAlignment w:val="baseline"/>
        <w:rPr>
          <w:rFonts w:hint="eastAsia" w:ascii="仿宋_GB2312" w:eastAsia="仿宋_GB2312"/>
          <w:b/>
          <w:color w:val="FF0000"/>
          <w:sz w:val="32"/>
          <w:szCs w:val="32"/>
        </w:rPr>
      </w:pPr>
      <w:r>
        <w:rPr>
          <w:rFonts w:hint="eastAsia" w:ascii="仿宋_GB2312" w:eastAsia="仿宋_GB2312"/>
          <w:b/>
          <w:bCs/>
          <w:sz w:val="32"/>
          <w:szCs w:val="32"/>
        </w:rPr>
        <w:t>公务接待费</w:t>
      </w:r>
      <w:r>
        <w:rPr>
          <w:rFonts w:ascii="仿宋_GB2312" w:eastAsia="仿宋_GB2312"/>
          <w:b/>
          <w:bCs/>
          <w:sz w:val="32"/>
          <w:szCs w:val="32"/>
        </w:rPr>
        <w:t>3</w:t>
      </w:r>
      <w:r>
        <w:rPr>
          <w:rFonts w:hint="eastAsia" w:ascii="仿宋_GB2312" w:eastAsia="仿宋_GB2312"/>
          <w:b/>
          <w:bCs/>
          <w:sz w:val="32"/>
          <w:szCs w:val="32"/>
        </w:rPr>
        <w:t>.</w:t>
      </w:r>
      <w:r>
        <w:rPr>
          <w:rFonts w:ascii="仿宋_GB2312" w:eastAsia="仿宋_GB2312"/>
          <w:b/>
          <w:bCs/>
          <w:sz w:val="32"/>
          <w:szCs w:val="32"/>
        </w:rPr>
        <w:t>6</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万元。主要原因：</w:t>
      </w:r>
      <w:r>
        <w:rPr>
          <w:rFonts w:hint="eastAsia" w:ascii="Times New Roman" w:hAnsi="Times New Roman" w:eastAsia="仿宋_GB2312" w:cs="仿宋_GB2312"/>
          <w:sz w:val="32"/>
          <w:szCs w:val="32"/>
        </w:rPr>
        <w:t>预算数</w:t>
      </w:r>
      <w:r>
        <w:rPr>
          <w:rFonts w:hint="eastAsia" w:ascii="Times New Roman" w:hAnsi="Times New Roman" w:eastAsia="仿宋_GB2312" w:cs="Times New Roman"/>
          <w:sz w:val="32"/>
          <w:szCs w:val="32"/>
        </w:rPr>
        <w:t>与2020</w:t>
      </w:r>
      <w:r>
        <w:rPr>
          <w:rFonts w:hint="eastAsia" w:ascii="Times New Roman" w:hAnsi="Times New Roman" w:eastAsia="仿宋_GB2312" w:cs="仿宋_GB2312"/>
          <w:sz w:val="32"/>
          <w:szCs w:val="32"/>
        </w:rPr>
        <w:t>年保持一致</w:t>
      </w:r>
      <w:r>
        <w:rPr>
          <w:rFonts w:hint="eastAsia" w:ascii="Times New Roman" w:hAnsi="Times New Roman" w:eastAsia="仿宋_GB2312" w:cs="Times New Roman"/>
          <w:sz w:val="32"/>
          <w:szCs w:val="32"/>
        </w:rPr>
        <w:t>。</w:t>
      </w:r>
    </w:p>
    <w:p>
      <w:pPr>
        <w:ind w:firstLine="640" w:firstLineChars="200"/>
        <w:textAlignment w:val="baseline"/>
        <w:rPr>
          <w:rFonts w:hint="eastAsia" w:ascii="黑体" w:eastAsia="黑体"/>
          <w:sz w:val="32"/>
          <w:szCs w:val="32"/>
        </w:rPr>
      </w:pPr>
      <w:r>
        <w:rPr>
          <w:rFonts w:hint="eastAsia" w:ascii="黑体" w:eastAsia="黑体"/>
          <w:sz w:val="32"/>
          <w:szCs w:val="32"/>
          <w:lang w:val="en-US" w:eastAsia="zh-Hans"/>
        </w:rPr>
        <w:t>九</w:t>
      </w:r>
      <w:r>
        <w:rPr>
          <w:rFonts w:hint="eastAsia" w:ascii="黑体" w:eastAsia="黑体"/>
          <w:sz w:val="32"/>
          <w:szCs w:val="32"/>
        </w:rPr>
        <w:t>、政府性基金预算支出预算情况说明</w:t>
      </w:r>
    </w:p>
    <w:p>
      <w:pPr>
        <w:ind w:firstLine="709"/>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textAlignment w:val="baseline"/>
        <w:rPr>
          <w:rFonts w:hint="eastAsia" w:ascii="黑体" w:eastAsia="黑体"/>
          <w:sz w:val="32"/>
          <w:szCs w:val="32"/>
        </w:rPr>
      </w:pPr>
      <w:r>
        <w:rPr>
          <w:rFonts w:hint="eastAsia" w:ascii="黑体" w:eastAsia="黑体"/>
          <w:sz w:val="32"/>
          <w:szCs w:val="32"/>
          <w:lang w:val="en-US" w:eastAsia="zh-Hans"/>
        </w:rPr>
        <w:t>十</w:t>
      </w:r>
      <w:r>
        <w:rPr>
          <w:rFonts w:hint="eastAsia" w:ascii="黑体" w:eastAsia="黑体"/>
          <w:sz w:val="32"/>
          <w:szCs w:val="32"/>
        </w:rPr>
        <w:t>、其他重要事项的情况说明</w:t>
      </w:r>
    </w:p>
    <w:p>
      <w:pPr>
        <w:ind w:firstLine="709"/>
        <w:rPr>
          <w:rFonts w:hint="eastAsia"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hint="eastAsia"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Hans"/>
        </w:rPr>
        <w:t>二</w:t>
      </w:r>
      <w:r>
        <w:rPr>
          <w:rFonts w:hint="eastAsia" w:ascii="仿宋_GB2312" w:eastAsia="仿宋_GB2312"/>
          <w:b/>
          <w:sz w:val="32"/>
          <w:szCs w:val="32"/>
        </w:rPr>
        <w:t>）政府采购支出情况</w:t>
      </w:r>
    </w:p>
    <w:p>
      <w:pPr>
        <w:ind w:firstLine="640" w:firstLineChars="200"/>
        <w:rPr>
          <w:rFonts w:hint="eastAsia" w:ascii="仿宋_GB2312" w:eastAsia="仿宋_GB2312"/>
          <w:sz w:val="32"/>
          <w:szCs w:val="32"/>
        </w:rPr>
      </w:pPr>
      <w:r>
        <w:rPr>
          <w:rFonts w:hint="eastAsia" w:ascii="仿宋_GB2312" w:eastAsia="仿宋_GB2312"/>
          <w:sz w:val="32"/>
          <w:szCs w:val="32"/>
        </w:rPr>
        <w:t>2021年无政府采购预算安排。</w:t>
      </w:r>
    </w:p>
    <w:p>
      <w:pPr>
        <w:ind w:firstLine="709"/>
        <w:textAlignment w:val="baseline"/>
        <w:rPr>
          <w:rFonts w:hint="eastAsia"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textAlignment w:val="baseline"/>
        <w:rPr>
          <w:rFonts w:hint="eastAsia" w:ascii="仿宋_GB2312" w:eastAsia="仿宋_GB2312"/>
          <w:b/>
          <w:sz w:val="32"/>
          <w:szCs w:val="32"/>
        </w:rPr>
      </w:pPr>
      <w:r>
        <w:rPr>
          <w:rFonts w:hint="eastAsia" w:ascii="仿宋_GB2312" w:eastAsia="仿宋_GB2312"/>
          <w:b/>
          <w:sz w:val="32"/>
          <w:szCs w:val="32"/>
        </w:rPr>
        <w:t>（四）国有资产占用情况</w:t>
      </w:r>
    </w:p>
    <w:p>
      <w:pPr>
        <w:ind w:firstLine="709"/>
        <w:textAlignment w:val="baseline"/>
        <w:rPr>
          <w:rFonts w:hint="eastAsia" w:ascii="仿宋_GB2312" w:eastAsia="仿宋_GB2312"/>
          <w:color w:val="000000" w:themeColor="text1"/>
          <w:sz w:val="32"/>
          <w:szCs w:val="32"/>
          <w:highlight w:val="yellow"/>
        </w:rPr>
      </w:pPr>
      <w:r>
        <w:rPr>
          <w:rFonts w:hint="eastAsia" w:ascii="仿宋_GB2312" w:eastAsia="仿宋_GB2312"/>
          <w:sz w:val="32"/>
          <w:szCs w:val="32"/>
        </w:rPr>
        <w:t>2020年期末，我单位共有车辆0辆，其中：一般公务用车0辆、一般执法执勤车辆0辆、特种专业技术用车0辆、其他用车0辆，其他用车主要是离退休干部用车0辆、应急保障车辆0辆。单价50万元以上通用设备0套，单位价值100万元以上专用设备0套。</w:t>
      </w:r>
    </w:p>
    <w:p>
      <w:pPr>
        <w:ind w:firstLine="709"/>
        <w:textAlignment w:val="baseline"/>
        <w:rPr>
          <w:rFonts w:hint="eastAsia"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hint="eastAsia"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textAlignment w:val="baseline"/>
        <w:rPr>
          <w:rFonts w:hint="eastAsia" w:ascii="黑体" w:eastAsia="黑体"/>
          <w:sz w:val="32"/>
          <w:szCs w:val="32"/>
        </w:rPr>
      </w:pPr>
      <w:r>
        <w:rPr>
          <w:rFonts w:hint="eastAsia" w:ascii="黑体" w:eastAsia="黑体"/>
          <w:sz w:val="32"/>
          <w:szCs w:val="32"/>
        </w:rPr>
        <w:t>第三部分 名词解释</w:t>
      </w:r>
    </w:p>
    <w:p>
      <w:pPr>
        <w:ind w:firstLine="709"/>
        <w:textAlignment w:val="baseline"/>
        <w:rPr>
          <w:rFonts w:hint="eastAsia" w:ascii="仿宋_GB2312" w:eastAsia="仿宋_GB2312"/>
          <w:sz w:val="32"/>
          <w:szCs w:val="32"/>
        </w:rPr>
      </w:pPr>
      <w:r>
        <w:rPr>
          <w:rFonts w:hint="eastAsia" w:ascii="仿宋_GB2312" w:eastAsia="仿宋_GB2312"/>
          <w:sz w:val="32"/>
          <w:szCs w:val="32"/>
        </w:rPr>
        <w:t>一、财政拨款收入：是指市级财政当年拨付的资金;包括一般公共预算财政拨款、政府性基金预算拨款、国有资本经营预算拨款。</w:t>
      </w:r>
    </w:p>
    <w:p>
      <w:pPr>
        <w:ind w:firstLine="709"/>
        <w:textAlignment w:val="baseline"/>
        <w:rPr>
          <w:rFonts w:hint="eastAsia"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textAlignment w:val="baseline"/>
        <w:rPr>
          <w:rFonts w:hint="eastAsia"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textAlignment w:val="baseline"/>
        <w:rPr>
          <w:rFonts w:hint="eastAsia"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textAlignment w:val="baseline"/>
        <w:rPr>
          <w:rFonts w:hint="eastAsia"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textAlignment w:val="baseline"/>
        <w:rPr>
          <w:rFonts w:hint="eastAsia"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textAlignment w:val="baseline"/>
        <w:rPr>
          <w:rFonts w:hint="eastAsia"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textAlignment w:val="baseline"/>
        <w:rPr>
          <w:rFonts w:hint="eastAsia"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textAlignment w:val="baseline"/>
        <w:rPr>
          <w:rFonts w:hint="eastAsia"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textAlignment w:val="baseline"/>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行政（事业）单位机构运转经费情况：</w:t>
      </w:r>
      <w:r>
        <w:rPr>
          <w:rFonts w:hint="eastAsia" w:ascii="仿宋_GB2312" w:eastAsia="仿宋_GB2312"/>
          <w:sz w:val="32"/>
          <w:szCs w:val="32"/>
        </w:rPr>
        <w:t>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textAlignment w:val="baseline"/>
        <w:rPr>
          <w:rFonts w:hint="eastAsia" w:ascii="仿宋_GB2312" w:eastAsia="仿宋_GB2312"/>
          <w:sz w:val="32"/>
          <w:szCs w:val="32"/>
        </w:rPr>
      </w:pPr>
    </w:p>
    <w:p>
      <w:pPr>
        <w:ind w:firstLine="426"/>
        <w:textAlignment w:val="baseline"/>
        <w:rPr>
          <w:rFonts w:hint="eastAsia"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textAlignment w:val="baseline"/>
        <w:rPr>
          <w:rFonts w:hint="eastAsia" w:ascii="仿宋_GB2312" w:eastAsia="仿宋_GB2312"/>
          <w:sz w:val="32"/>
          <w:szCs w:val="32"/>
        </w:rPr>
      </w:pPr>
      <w:r>
        <w:rPr>
          <w:rFonts w:hint="eastAsia" w:ascii="仿宋_GB2312" w:eastAsia="仿宋_GB2312"/>
          <w:sz w:val="32"/>
          <w:szCs w:val="32"/>
        </w:rPr>
        <w:t>一、收支预算总表</w:t>
      </w:r>
    </w:p>
    <w:p>
      <w:pPr>
        <w:snapToGrid w:val="0"/>
        <w:ind w:firstLine="426"/>
        <w:textAlignment w:val="baseline"/>
        <w:rPr>
          <w:rFonts w:hint="eastAsia" w:ascii="仿宋_GB2312" w:eastAsia="仿宋_GB2312"/>
          <w:sz w:val="32"/>
          <w:szCs w:val="32"/>
        </w:rPr>
      </w:pPr>
      <w:r>
        <w:rPr>
          <w:rFonts w:hint="eastAsia" w:ascii="仿宋_GB2312" w:eastAsia="仿宋_GB2312"/>
          <w:sz w:val="32"/>
          <w:szCs w:val="32"/>
        </w:rPr>
        <w:t>二、单位收入总体情况表</w:t>
      </w:r>
    </w:p>
    <w:p>
      <w:pPr>
        <w:snapToGrid w:val="0"/>
        <w:ind w:firstLine="426"/>
        <w:textAlignment w:val="baseline"/>
        <w:rPr>
          <w:rFonts w:hint="eastAsia" w:ascii="仿宋_GB2312" w:eastAsia="仿宋_GB2312"/>
          <w:sz w:val="32"/>
          <w:szCs w:val="32"/>
        </w:rPr>
      </w:pPr>
      <w:r>
        <w:rPr>
          <w:rFonts w:hint="eastAsia" w:ascii="仿宋_GB2312" w:eastAsia="仿宋_GB2312"/>
          <w:sz w:val="32"/>
          <w:szCs w:val="32"/>
        </w:rPr>
        <w:t>三、单位支出总体情况表</w:t>
      </w:r>
    </w:p>
    <w:p>
      <w:pPr>
        <w:snapToGrid w:val="0"/>
        <w:ind w:firstLine="426"/>
        <w:textAlignment w:val="baseline"/>
        <w:rPr>
          <w:rFonts w:hint="eastAsia" w:ascii="仿宋_GB2312" w:eastAsia="仿宋_GB2312"/>
          <w:sz w:val="32"/>
          <w:szCs w:val="32"/>
        </w:rPr>
      </w:pPr>
      <w:r>
        <w:rPr>
          <w:rFonts w:hint="eastAsia" w:ascii="仿宋_GB2312" w:eastAsia="仿宋_GB2312"/>
          <w:sz w:val="32"/>
          <w:szCs w:val="32"/>
        </w:rPr>
        <w:t>四、财政拨款收支总体情况表</w:t>
      </w:r>
    </w:p>
    <w:p>
      <w:pPr>
        <w:snapToGrid w:val="0"/>
        <w:ind w:firstLine="426"/>
        <w:textAlignment w:val="baseline"/>
        <w:rPr>
          <w:rFonts w:hint="eastAsia" w:ascii="仿宋_GB2312" w:eastAsia="仿宋_GB2312"/>
          <w:sz w:val="32"/>
          <w:szCs w:val="32"/>
        </w:rPr>
      </w:pPr>
      <w:r>
        <w:rPr>
          <w:rFonts w:hint="eastAsia" w:ascii="仿宋_GB2312" w:eastAsia="仿宋_GB2312"/>
          <w:sz w:val="32"/>
          <w:szCs w:val="32"/>
        </w:rPr>
        <w:t>五、一般公共预算支出情况表</w:t>
      </w:r>
    </w:p>
    <w:p>
      <w:pPr>
        <w:snapToGrid w:val="0"/>
        <w:ind w:firstLine="426"/>
        <w:textAlignment w:val="baseline"/>
        <w:rPr>
          <w:rFonts w:hint="eastAsia" w:ascii="仿宋_GB2312" w:eastAsia="仿宋_GB2312"/>
          <w:sz w:val="32"/>
          <w:szCs w:val="32"/>
        </w:rPr>
      </w:pPr>
      <w:r>
        <w:rPr>
          <w:rFonts w:hint="eastAsia" w:ascii="仿宋_GB2312" w:eastAsia="仿宋_GB2312"/>
          <w:sz w:val="32"/>
          <w:szCs w:val="32"/>
        </w:rPr>
        <w:t>六、一般公共预算基本支出情况表</w:t>
      </w:r>
    </w:p>
    <w:p>
      <w:pPr>
        <w:snapToGrid w:val="0"/>
        <w:ind w:firstLine="426"/>
        <w:textAlignment w:val="baseline"/>
        <w:rPr>
          <w:rFonts w:hint="eastAsia"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textAlignment w:val="baseline"/>
        <w:rPr>
          <w:rFonts w:hint="eastAsia" w:ascii="仿宋_GB2312" w:eastAsia="仿宋_GB2312"/>
          <w:sz w:val="32"/>
          <w:szCs w:val="32"/>
        </w:rPr>
      </w:pPr>
      <w:r>
        <w:rPr>
          <w:rFonts w:hint="eastAsia" w:ascii="仿宋_GB2312" w:eastAsia="仿宋_GB2312"/>
          <w:sz w:val="32"/>
          <w:szCs w:val="32"/>
        </w:rPr>
        <w:t>八、政府性基金支出情况表</w:t>
      </w:r>
    </w:p>
    <w:p>
      <w:pPr>
        <w:snapToGrid w:val="0"/>
        <w:ind w:firstLine="426"/>
        <w:textAlignment w:val="baseline"/>
        <w:rPr>
          <w:rFonts w:hint="eastAsia" w:ascii="仿宋_GB2312" w:eastAsia="仿宋_GB2312"/>
          <w:sz w:val="32"/>
          <w:szCs w:val="32"/>
        </w:rPr>
      </w:pPr>
      <w:r>
        <w:rPr>
          <w:rFonts w:hint="eastAsia" w:ascii="仿宋_GB2312" w:eastAsia="仿宋_GB2312"/>
          <w:sz w:val="32"/>
          <w:szCs w:val="32"/>
        </w:rPr>
        <w:t>九、支出经济分类汇总表</w:t>
      </w:r>
    </w:p>
    <w:p>
      <w:pPr>
        <w:snapToGrid w:val="0"/>
        <w:ind w:firstLine="426"/>
        <w:textAlignment w:val="baseline"/>
        <w:rPr>
          <w:rFonts w:hint="default" w:ascii="仿宋_GB2312" w:eastAsia="仿宋_GB2312"/>
          <w:sz w:val="32"/>
          <w:szCs w:val="32"/>
        </w:rPr>
      </w:pPr>
      <w:r>
        <w:rPr>
          <w:rFonts w:hint="default" w:ascii="仿宋_GB2312" w:eastAsia="仿宋_GB2312"/>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path/>
          <v:fill on="f" focussize="0,0"/>
          <v:stroke on="f" weight="0.5pt" joinstyle="miter"/>
          <v:imagedata o:title=""/>
          <o:lock v:ext="edit"/>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5828C"/>
    <w:multiLevelType w:val="singleLevel"/>
    <w:tmpl w:val="B265828C"/>
    <w:lvl w:ilvl="0" w:tentative="0">
      <w:start w:val="1"/>
      <w:numFmt w:val="chineseCounting"/>
      <w:suff w:val="nothing"/>
      <w:lvlText w:val="%1、"/>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iY2JkMjU3NGYzZTEwMzZmMGFkZWViYmNkYWU3NDIifQ=="/>
  </w:docVars>
  <w:rsids>
    <w:rsidRoot w:val="006E0667"/>
    <w:rsid w:val="00000164"/>
    <w:rsid w:val="00031516"/>
    <w:rsid w:val="000A21F8"/>
    <w:rsid w:val="000C27A5"/>
    <w:rsid w:val="00163512"/>
    <w:rsid w:val="00197CC4"/>
    <w:rsid w:val="001B465C"/>
    <w:rsid w:val="001F4D71"/>
    <w:rsid w:val="001F783F"/>
    <w:rsid w:val="002106C1"/>
    <w:rsid w:val="00264D29"/>
    <w:rsid w:val="002F2F0E"/>
    <w:rsid w:val="00311D42"/>
    <w:rsid w:val="00373D7B"/>
    <w:rsid w:val="003A0929"/>
    <w:rsid w:val="003A3239"/>
    <w:rsid w:val="003F497C"/>
    <w:rsid w:val="00406691"/>
    <w:rsid w:val="00470C6C"/>
    <w:rsid w:val="004B5D7D"/>
    <w:rsid w:val="00514787"/>
    <w:rsid w:val="00545A43"/>
    <w:rsid w:val="00564FBA"/>
    <w:rsid w:val="00671A9B"/>
    <w:rsid w:val="006857C5"/>
    <w:rsid w:val="0068696D"/>
    <w:rsid w:val="006E0667"/>
    <w:rsid w:val="00715345"/>
    <w:rsid w:val="007A79BD"/>
    <w:rsid w:val="0086649A"/>
    <w:rsid w:val="008747E3"/>
    <w:rsid w:val="0091431D"/>
    <w:rsid w:val="00921CA8"/>
    <w:rsid w:val="00937E51"/>
    <w:rsid w:val="00972071"/>
    <w:rsid w:val="00984F09"/>
    <w:rsid w:val="009A7C83"/>
    <w:rsid w:val="009D0D41"/>
    <w:rsid w:val="009E5AAA"/>
    <w:rsid w:val="009F5991"/>
    <w:rsid w:val="00AC7B36"/>
    <w:rsid w:val="00AD7AE6"/>
    <w:rsid w:val="00AF4F57"/>
    <w:rsid w:val="00BC6702"/>
    <w:rsid w:val="00D72B10"/>
    <w:rsid w:val="00E13A03"/>
    <w:rsid w:val="00ED2B32"/>
    <w:rsid w:val="01DF310B"/>
    <w:rsid w:val="03640DAC"/>
    <w:rsid w:val="04C24CD3"/>
    <w:rsid w:val="066D0C7E"/>
    <w:rsid w:val="06BE1DED"/>
    <w:rsid w:val="06D348E1"/>
    <w:rsid w:val="07EC657B"/>
    <w:rsid w:val="0C956DB9"/>
    <w:rsid w:val="0D0A4958"/>
    <w:rsid w:val="0E675CD8"/>
    <w:rsid w:val="0E8B0118"/>
    <w:rsid w:val="10BB1A3D"/>
    <w:rsid w:val="10D93902"/>
    <w:rsid w:val="11F148A3"/>
    <w:rsid w:val="12616F90"/>
    <w:rsid w:val="12686164"/>
    <w:rsid w:val="136F6984"/>
    <w:rsid w:val="158E7F9A"/>
    <w:rsid w:val="17024C77"/>
    <w:rsid w:val="1DA1457D"/>
    <w:rsid w:val="1E1C1FAB"/>
    <w:rsid w:val="20F53F6B"/>
    <w:rsid w:val="21172D08"/>
    <w:rsid w:val="219E015A"/>
    <w:rsid w:val="24515E9B"/>
    <w:rsid w:val="25097E0B"/>
    <w:rsid w:val="2982535C"/>
    <w:rsid w:val="2D780E48"/>
    <w:rsid w:val="2F92660B"/>
    <w:rsid w:val="3168305B"/>
    <w:rsid w:val="34726940"/>
    <w:rsid w:val="35B24877"/>
    <w:rsid w:val="374B4E10"/>
    <w:rsid w:val="37740D13"/>
    <w:rsid w:val="39CE1876"/>
    <w:rsid w:val="3AEB3A7E"/>
    <w:rsid w:val="3BBC1D2C"/>
    <w:rsid w:val="3C3F0A06"/>
    <w:rsid w:val="3DB812AD"/>
    <w:rsid w:val="3F936798"/>
    <w:rsid w:val="40472FBD"/>
    <w:rsid w:val="41856F3A"/>
    <w:rsid w:val="423D3584"/>
    <w:rsid w:val="471314C5"/>
    <w:rsid w:val="48EC3681"/>
    <w:rsid w:val="4A183A49"/>
    <w:rsid w:val="4B17485A"/>
    <w:rsid w:val="4B330949"/>
    <w:rsid w:val="4B540996"/>
    <w:rsid w:val="4B901AAA"/>
    <w:rsid w:val="4C9E50A9"/>
    <w:rsid w:val="4CB25A45"/>
    <w:rsid w:val="4DC340C1"/>
    <w:rsid w:val="4E13432C"/>
    <w:rsid w:val="4EB23847"/>
    <w:rsid w:val="4F4E22B8"/>
    <w:rsid w:val="51F06497"/>
    <w:rsid w:val="54375C0B"/>
    <w:rsid w:val="55CA7913"/>
    <w:rsid w:val="576B0713"/>
    <w:rsid w:val="577566EA"/>
    <w:rsid w:val="57DC1084"/>
    <w:rsid w:val="58802D5A"/>
    <w:rsid w:val="59CD76D7"/>
    <w:rsid w:val="5A7054A3"/>
    <w:rsid w:val="5A9E72FD"/>
    <w:rsid w:val="5AB45193"/>
    <w:rsid w:val="5C495B74"/>
    <w:rsid w:val="5CA8687F"/>
    <w:rsid w:val="5EF754F5"/>
    <w:rsid w:val="60AF768B"/>
    <w:rsid w:val="60D15B65"/>
    <w:rsid w:val="60D3160D"/>
    <w:rsid w:val="61230664"/>
    <w:rsid w:val="621A02E7"/>
    <w:rsid w:val="627C5972"/>
    <w:rsid w:val="655C6258"/>
    <w:rsid w:val="65AA7172"/>
    <w:rsid w:val="67471495"/>
    <w:rsid w:val="677B383D"/>
    <w:rsid w:val="681D6109"/>
    <w:rsid w:val="6AA309C2"/>
    <w:rsid w:val="6DD00BE6"/>
    <w:rsid w:val="6E62004E"/>
    <w:rsid w:val="6EE42585"/>
    <w:rsid w:val="6F21169C"/>
    <w:rsid w:val="6F920B9B"/>
    <w:rsid w:val="6F9B7A32"/>
    <w:rsid w:val="72356867"/>
    <w:rsid w:val="72B009C7"/>
    <w:rsid w:val="72CE3402"/>
    <w:rsid w:val="768D0270"/>
    <w:rsid w:val="7701693E"/>
    <w:rsid w:val="78BD42BC"/>
    <w:rsid w:val="79D11516"/>
    <w:rsid w:val="7A0415DC"/>
    <w:rsid w:val="7A0E0484"/>
    <w:rsid w:val="7B530E71"/>
    <w:rsid w:val="7BADB5CC"/>
    <w:rsid w:val="7CA378FF"/>
    <w:rsid w:val="7CAB2C00"/>
    <w:rsid w:val="B75F5FFC"/>
    <w:rsid w:val="BF7F256F"/>
    <w:rsid w:val="DFD66C4E"/>
    <w:rsid w:val="FEBFA2EB"/>
    <w:rsid w:val="FEFEC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416</Words>
  <Characters>2375</Characters>
  <Lines>19</Lines>
  <Paragraphs>5</Paragraphs>
  <TotalTime>19</TotalTime>
  <ScaleCrop>false</ScaleCrop>
  <LinksUpToDate>false</LinksUpToDate>
  <CharactersWithSpaces>2786</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2019-09-17T11:24:00Z</dcterms:created>
  <dc:creator>null,null,总收发</dc:creator>
  <cp:lastModifiedBy>小胖钰</cp:lastModifiedBy>
  <cp:lastPrinted>2022-05-19T10:02:00Z</cp:lastPrinted>
  <dcterms:modified xsi:type="dcterms:W3CDTF">2022-09-01T16:32:08Z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9BB52F848296D36C33230B63DBF072FB</vt:lpwstr>
  </property>
</Properties>
</file>