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ascii="方正小标宋简体" w:hAnsi="黑体" w:eastAsia="方正小标宋简体"/>
          <w:color w:val="auto"/>
          <w:w w:val="90"/>
          <w:sz w:val="44"/>
          <w:szCs w:val="32"/>
          <w:highlight w:val="none"/>
        </w:rPr>
      </w:pPr>
      <w:r>
        <w:rPr>
          <w:rFonts w:hint="eastAsia" w:ascii="方正小标宋简体" w:hAnsi="黑体" w:eastAsia="方正小标宋简体"/>
          <w:color w:val="auto"/>
          <w:w w:val="90"/>
          <w:sz w:val="44"/>
          <w:szCs w:val="32"/>
          <w:highlight w:val="none"/>
        </w:rPr>
        <w:t>邓州市2021年</w:t>
      </w:r>
      <w:r>
        <w:rPr>
          <w:rFonts w:hint="eastAsia" w:ascii="方正小标宋简体" w:hAnsi="黑体" w:eastAsia="方正小标宋简体"/>
          <w:color w:val="auto"/>
          <w:w w:val="90"/>
          <w:sz w:val="44"/>
          <w:szCs w:val="32"/>
          <w:highlight w:val="none"/>
          <w:lang w:val="en-US" w:eastAsia="zh-CN"/>
        </w:rPr>
        <w:t>第一高级中学校</w:t>
      </w:r>
      <w:r>
        <w:rPr>
          <w:rFonts w:hint="eastAsia" w:ascii="方正小标宋简体" w:hAnsi="黑体" w:eastAsia="方正小标宋简体"/>
          <w:color w:val="auto"/>
          <w:w w:val="90"/>
          <w:sz w:val="44"/>
          <w:szCs w:val="32"/>
          <w:highlight w:val="none"/>
        </w:rPr>
        <w:t>单位预算基本情况说明</w:t>
      </w:r>
    </w:p>
    <w:p>
      <w:pPr>
        <w:shd w:val="clear"/>
        <w:jc w:val="center"/>
        <w:rPr>
          <w:rFonts w:asciiTheme="majorEastAsia" w:hAnsiTheme="majorEastAsia" w:eastAsiaTheme="majorEastAsia"/>
          <w:b/>
          <w:color w:val="auto"/>
          <w:sz w:val="28"/>
          <w:szCs w:val="32"/>
          <w:highlight w:val="none"/>
        </w:rPr>
      </w:pPr>
    </w:p>
    <w:p>
      <w:pPr>
        <w:shd w:val="clear"/>
        <w:jc w:val="center"/>
        <w:rPr>
          <w:rFonts w:ascii="黑体" w:eastAsia="黑体" w:hAnsiTheme="majorEastAsia"/>
          <w:color w:val="auto"/>
          <w:sz w:val="36"/>
          <w:szCs w:val="32"/>
          <w:highlight w:val="none"/>
        </w:rPr>
      </w:pPr>
      <w:r>
        <w:rPr>
          <w:rFonts w:hint="eastAsia" w:ascii="黑体" w:eastAsia="黑体" w:hAnsiTheme="majorEastAsia"/>
          <w:color w:val="auto"/>
          <w:sz w:val="36"/>
          <w:szCs w:val="32"/>
          <w:highlight w:val="none"/>
        </w:rPr>
        <w:t>目  录</w:t>
      </w:r>
    </w:p>
    <w:p>
      <w:pPr>
        <w:shd w:val="clear"/>
        <w:spacing w:before="312" w:beforeLines="100"/>
        <w:jc w:val="left"/>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第一部分  邓州市</w:t>
      </w:r>
      <w:r>
        <w:rPr>
          <w:rFonts w:hint="eastAsia" w:ascii="黑体" w:eastAsia="黑体" w:hAnsiTheme="majorEastAsia"/>
          <w:color w:val="auto"/>
          <w:sz w:val="32"/>
          <w:szCs w:val="32"/>
          <w:highlight w:val="none"/>
          <w:lang w:val="en-US" w:eastAsia="zh-CN"/>
        </w:rPr>
        <w:t>第一高级中学校</w:t>
      </w:r>
      <w:r>
        <w:rPr>
          <w:rFonts w:hint="eastAsia" w:ascii="黑体" w:eastAsia="黑体" w:hAnsiTheme="majorEastAsia"/>
          <w:color w:val="auto"/>
          <w:sz w:val="32"/>
          <w:szCs w:val="32"/>
          <w:highlight w:val="none"/>
        </w:rPr>
        <w:t>概况</w:t>
      </w:r>
    </w:p>
    <w:p>
      <w:pPr>
        <w:pStyle w:val="9"/>
        <w:numPr>
          <w:ilvl w:val="0"/>
          <w:numId w:val="1"/>
        </w:numPr>
        <w:shd w:val="clear"/>
        <w:jc w:val="left"/>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主要职责</w:t>
      </w:r>
    </w:p>
    <w:p>
      <w:pPr>
        <w:pStyle w:val="9"/>
        <w:numPr>
          <w:ilvl w:val="0"/>
          <w:numId w:val="1"/>
        </w:numPr>
        <w:shd w:val="clear"/>
        <w:jc w:val="left"/>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预算单位构成情况</w:t>
      </w:r>
    </w:p>
    <w:p>
      <w:pPr>
        <w:shd w:val="clear"/>
        <w:jc w:val="left"/>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第二部分 邓州市</w:t>
      </w:r>
      <w:r>
        <w:rPr>
          <w:rFonts w:hint="eastAsia" w:ascii="黑体" w:eastAsia="黑体" w:hAnsiTheme="majorEastAsia"/>
          <w:color w:val="auto"/>
          <w:sz w:val="32"/>
          <w:szCs w:val="32"/>
          <w:highlight w:val="none"/>
          <w:lang w:val="en-US" w:eastAsia="zh-CN"/>
        </w:rPr>
        <w:t>第一高级中学校</w:t>
      </w:r>
      <w:r>
        <w:rPr>
          <w:rFonts w:hint="eastAsia" w:ascii="黑体" w:eastAsia="黑体" w:hAnsiTheme="majorEastAsia"/>
          <w:color w:val="auto"/>
          <w:sz w:val="32"/>
          <w:szCs w:val="32"/>
          <w:highlight w:val="none"/>
        </w:rPr>
        <w:t>2021年单位预算情况说明</w:t>
      </w:r>
    </w:p>
    <w:p>
      <w:pPr>
        <w:shd w:val="clear"/>
        <w:jc w:val="left"/>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第三部分 名词解释</w:t>
      </w:r>
    </w:p>
    <w:p>
      <w:pPr>
        <w:shd w:val="clear"/>
        <w:rPr>
          <w:rFonts w:ascii="仿宋_GB2312" w:eastAsia="仿宋_GB2312" w:hAnsiTheme="majorEastAsia"/>
          <w:color w:val="auto"/>
          <w:sz w:val="32"/>
          <w:szCs w:val="32"/>
          <w:highlight w:val="none"/>
        </w:rPr>
      </w:pPr>
      <w:r>
        <w:rPr>
          <w:rFonts w:hint="eastAsia" w:ascii="黑体" w:eastAsia="黑体" w:hAnsiTheme="majorEastAsia"/>
          <w:color w:val="auto"/>
          <w:sz w:val="32"/>
          <w:szCs w:val="32"/>
          <w:highlight w:val="none"/>
        </w:rPr>
        <w:t>附件</w:t>
      </w:r>
      <w:r>
        <w:rPr>
          <w:rFonts w:hint="eastAsia" w:ascii="仿宋_GB2312" w:eastAsia="仿宋_GB2312" w:hAnsiTheme="majorEastAsia"/>
          <w:color w:val="auto"/>
          <w:sz w:val="32"/>
          <w:szCs w:val="32"/>
          <w:highlight w:val="none"/>
        </w:rPr>
        <w:t>：2021年度单位预算表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一、单位收支总体情况表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二、单位收入总体情况表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三、单位支出总体情况表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四、财政拨款收支总体情况表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五、一般公共预算支出情况表</w:t>
      </w:r>
    </w:p>
    <w:p>
      <w:pPr>
        <w:shd w:val="clear"/>
        <w:ind w:firstLine="425" w:firstLineChars="133"/>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六、一般公共预算基本支出情况表</w:t>
      </w:r>
    </w:p>
    <w:p>
      <w:pPr>
        <w:shd w:val="clear"/>
        <w:ind w:firstLine="425" w:firstLineChars="133"/>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七、一般公共预算“三公”经费支出情况表</w:t>
      </w:r>
    </w:p>
    <w:p>
      <w:pPr>
        <w:shd w:val="clear"/>
        <w:ind w:firstLine="425" w:firstLineChars="133"/>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八、政府性基金预算支出情况表</w:t>
      </w:r>
    </w:p>
    <w:p>
      <w:pPr>
        <w:shd w:val="clear"/>
        <w:ind w:firstLine="425" w:firstLineChars="133"/>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九、支出经济分类汇总表</w:t>
      </w:r>
    </w:p>
    <w:p>
      <w:pPr>
        <w:shd w:val="clear"/>
        <w:snapToGrid w:val="0"/>
        <w:spacing w:line="360" w:lineRule="auto"/>
        <w:ind w:firstLine="372" w:firstLineChars="133"/>
        <w:rPr>
          <w:rFonts w:ascii="仿宋_GB2312" w:eastAsia="仿宋_GB2312" w:hAnsiTheme="majorEastAsia"/>
          <w:color w:val="auto"/>
          <w:sz w:val="28"/>
          <w:szCs w:val="28"/>
          <w:highlight w:val="none"/>
        </w:rPr>
      </w:pPr>
    </w:p>
    <w:p>
      <w:pPr>
        <w:shd w:val="clear"/>
        <w:ind w:firstLine="427" w:firstLineChars="133"/>
        <w:rPr>
          <w:rFonts w:ascii="仿宋_GB2312" w:eastAsia="仿宋_GB2312" w:hAnsiTheme="majorEastAsia"/>
          <w:b/>
          <w:color w:val="auto"/>
          <w:sz w:val="32"/>
          <w:szCs w:val="32"/>
          <w:highlight w:val="none"/>
        </w:rPr>
      </w:pPr>
      <w:r>
        <w:rPr>
          <w:rFonts w:ascii="仿宋_GB2312" w:eastAsia="仿宋_GB2312" w:hAnsiTheme="majorEastAsia"/>
          <w:b/>
          <w:color w:val="auto"/>
          <w:sz w:val="32"/>
          <w:szCs w:val="32"/>
          <w:highlight w:val="none"/>
        </w:rPr>
        <w:br w:type="page"/>
      </w:r>
    </w:p>
    <w:p>
      <w:pPr>
        <w:shd w:val="clear"/>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第一部分</w:t>
      </w:r>
    </w:p>
    <w:p>
      <w:pPr>
        <w:shd w:val="clear"/>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邓州市</w:t>
      </w:r>
      <w:r>
        <w:rPr>
          <w:rFonts w:hint="eastAsia" w:ascii="黑体" w:eastAsia="黑体" w:hAnsiTheme="majorEastAsia"/>
          <w:color w:val="auto"/>
          <w:sz w:val="32"/>
          <w:szCs w:val="32"/>
          <w:highlight w:val="none"/>
          <w:lang w:val="en-US" w:eastAsia="zh-CN"/>
        </w:rPr>
        <w:t>第一高级中学校</w:t>
      </w:r>
      <w:r>
        <w:rPr>
          <w:rFonts w:hint="eastAsia" w:ascii="黑体" w:eastAsia="黑体" w:hAnsiTheme="majorEastAsia"/>
          <w:color w:val="auto"/>
          <w:sz w:val="32"/>
          <w:szCs w:val="32"/>
          <w:highlight w:val="none"/>
        </w:rPr>
        <w:t>概况</w:t>
      </w:r>
    </w:p>
    <w:p>
      <w:pPr>
        <w:shd w:val="clear"/>
        <w:rPr>
          <w:rFonts w:ascii="仿宋_GB2312" w:eastAsia="仿宋_GB2312"/>
          <w:b/>
          <w:color w:val="auto"/>
          <w:sz w:val="32"/>
          <w:szCs w:val="32"/>
          <w:highlight w:val="none"/>
        </w:rPr>
      </w:pPr>
    </w:p>
    <w:p>
      <w:pPr>
        <w:shd w:val="clear"/>
        <w:ind w:firstLine="566" w:firstLineChars="177"/>
        <w:rPr>
          <w:rFonts w:ascii="黑体" w:eastAsia="黑体"/>
          <w:color w:val="auto"/>
          <w:sz w:val="32"/>
          <w:szCs w:val="32"/>
          <w:highlight w:val="none"/>
        </w:rPr>
      </w:pPr>
      <w:r>
        <w:rPr>
          <w:rFonts w:hint="eastAsia" w:ascii="黑体" w:eastAsia="黑体"/>
          <w:color w:val="auto"/>
          <w:sz w:val="32"/>
          <w:szCs w:val="32"/>
          <w:highlight w:val="none"/>
        </w:rPr>
        <w:t>一、主要职责</w:t>
      </w:r>
    </w:p>
    <w:p>
      <w:pPr>
        <w:shd w:val="clear"/>
        <w:ind w:firstLine="566" w:firstLineChars="177"/>
        <w:rPr>
          <w:rFonts w:ascii="仿宋_GB2312" w:eastAsia="仿宋_GB2312"/>
          <w:color w:val="auto"/>
          <w:sz w:val="32"/>
          <w:szCs w:val="32"/>
          <w:highlight w:val="none"/>
        </w:rPr>
      </w:pPr>
      <w:r>
        <w:rPr>
          <w:rFonts w:hint="eastAsia" w:ascii="仿宋_GB2312" w:eastAsia="仿宋_GB2312"/>
          <w:color w:val="auto"/>
          <w:sz w:val="32"/>
          <w:szCs w:val="32"/>
          <w:highlight w:val="none"/>
        </w:rPr>
        <w:t>负责高中学历教育，全面贯彻党和国家的教育方针，提高学生的思想道德，科学文化，劳动技能，身体和心理素质，为高校产社会输送较高素质的后备力量。</w:t>
      </w:r>
    </w:p>
    <w:p>
      <w:pPr>
        <w:shd w:val="clear"/>
        <w:ind w:firstLine="566" w:firstLineChars="177"/>
        <w:rPr>
          <w:rFonts w:ascii="黑体" w:eastAsia="黑体"/>
          <w:color w:val="auto"/>
          <w:sz w:val="32"/>
          <w:szCs w:val="32"/>
          <w:highlight w:val="none"/>
        </w:rPr>
      </w:pPr>
      <w:r>
        <w:rPr>
          <w:rFonts w:hint="eastAsia" w:ascii="黑体" w:eastAsia="黑体"/>
          <w:color w:val="auto"/>
          <w:sz w:val="32"/>
          <w:szCs w:val="32"/>
          <w:highlight w:val="none"/>
        </w:rPr>
        <w:t>二、单位预算构成情况</w:t>
      </w:r>
    </w:p>
    <w:p>
      <w:pPr>
        <w:shd w:val="clear"/>
        <w:ind w:firstLine="566" w:firstLineChars="177"/>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邓州市</w:t>
      </w:r>
      <w:r>
        <w:rPr>
          <w:rFonts w:hint="eastAsia" w:ascii="仿宋_GB2312" w:eastAsia="仿宋_GB2312"/>
          <w:color w:val="auto"/>
          <w:sz w:val="32"/>
          <w:szCs w:val="32"/>
          <w:highlight w:val="none"/>
          <w:lang w:val="en-US" w:eastAsia="zh-CN"/>
        </w:rPr>
        <w:t>第一高级中学校</w:t>
      </w:r>
      <w:r>
        <w:rPr>
          <w:rFonts w:hint="eastAsia" w:ascii="仿宋_GB2312" w:eastAsia="仿宋_GB2312"/>
          <w:color w:val="auto"/>
          <w:sz w:val="32"/>
          <w:szCs w:val="32"/>
          <w:highlight w:val="none"/>
        </w:rPr>
        <w:t>部门预算包括</w:t>
      </w:r>
      <w:r>
        <w:rPr>
          <w:rFonts w:hint="eastAsia" w:ascii="仿宋_GB2312" w:eastAsia="仿宋_GB2312"/>
          <w:color w:val="auto"/>
          <w:sz w:val="32"/>
          <w:szCs w:val="32"/>
          <w:highlight w:val="none"/>
          <w:lang w:val="en-US" w:eastAsia="zh-CN"/>
        </w:rPr>
        <w:t>一高中本单位及下设办公室、后勤处、教务处、教科所、服务中心等内设机构的所有</w:t>
      </w:r>
      <w:r>
        <w:rPr>
          <w:rFonts w:hint="eastAsia" w:ascii="仿宋_GB2312" w:eastAsia="仿宋_GB2312"/>
          <w:color w:val="auto"/>
          <w:sz w:val="32"/>
          <w:szCs w:val="32"/>
          <w:highlight w:val="none"/>
        </w:rPr>
        <w:t>预算。</w:t>
      </w:r>
    </w:p>
    <w:p>
      <w:pPr>
        <w:shd w:val="clear"/>
        <w:rPr>
          <w:rFonts w:ascii="仿宋_GB2312" w:eastAsia="仿宋_GB2312"/>
          <w:color w:val="auto"/>
          <w:sz w:val="32"/>
          <w:szCs w:val="32"/>
          <w:highlight w:val="none"/>
        </w:rPr>
      </w:pPr>
    </w:p>
    <w:p>
      <w:pPr>
        <w:shd w:val="clear"/>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第二部分</w:t>
      </w:r>
    </w:p>
    <w:p>
      <w:pPr>
        <w:shd w:val="clear"/>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邓州市</w:t>
      </w:r>
      <w:r>
        <w:rPr>
          <w:rFonts w:hint="eastAsia" w:ascii="黑体" w:eastAsia="黑体" w:hAnsiTheme="majorEastAsia"/>
          <w:color w:val="auto"/>
          <w:sz w:val="32"/>
          <w:szCs w:val="32"/>
          <w:highlight w:val="none"/>
          <w:lang w:val="en-US" w:eastAsia="zh-CN"/>
        </w:rPr>
        <w:t>第一高级中学校</w:t>
      </w:r>
      <w:r>
        <w:rPr>
          <w:rFonts w:hint="eastAsia" w:ascii="黑体" w:eastAsia="黑体" w:hAnsiTheme="majorEastAsia"/>
          <w:color w:val="auto"/>
          <w:sz w:val="32"/>
          <w:szCs w:val="32"/>
          <w:highlight w:val="none"/>
        </w:rPr>
        <w:t>2021年单位预算情况说明</w:t>
      </w:r>
    </w:p>
    <w:p>
      <w:pPr>
        <w:shd w:val="clear"/>
        <w:spacing w:before="312" w:beforeLines="100"/>
        <w:ind w:firstLine="709"/>
        <w:rPr>
          <w:rFonts w:ascii="黑体" w:eastAsia="黑体"/>
          <w:color w:val="auto"/>
          <w:sz w:val="32"/>
          <w:szCs w:val="32"/>
          <w:highlight w:val="none"/>
        </w:rPr>
      </w:pPr>
      <w:r>
        <w:rPr>
          <w:rFonts w:hint="eastAsia" w:ascii="黑体" w:eastAsia="黑体"/>
          <w:color w:val="auto"/>
          <w:sz w:val="32"/>
          <w:szCs w:val="32"/>
          <w:highlight w:val="none"/>
        </w:rPr>
        <w:t>一、收入支出预算总体情况说明</w:t>
      </w:r>
    </w:p>
    <w:p>
      <w:pPr>
        <w:shd w:val="clea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2021年收入总计6,373.98 万元，支出总计6,373.98万元，与2020年相比，收入、支出各增长1173.92万元。主要原因是：</w:t>
      </w:r>
      <w:r>
        <w:rPr>
          <w:rFonts w:hint="eastAsia" w:ascii="仿宋_GB2312" w:eastAsia="仿宋_GB2312"/>
          <w:color w:val="auto"/>
          <w:sz w:val="32"/>
          <w:szCs w:val="32"/>
          <w:highlight w:val="none"/>
          <w:lang w:val="en-US" w:eastAsia="zh-CN"/>
        </w:rPr>
        <w:t>财政拨款增加了1337.12万元，国有资本资收减少了163.2万元；财政拨款中主要是增加了扩建二期项目投入</w:t>
      </w:r>
      <w:r>
        <w:rPr>
          <w:rFonts w:hint="eastAsia" w:eastAsia="仿宋_GB2312"/>
          <w:color w:val="auto"/>
          <w:sz w:val="32"/>
          <w:szCs w:val="32"/>
          <w:highlight w:val="none"/>
        </w:rPr>
        <w:t>。</w:t>
      </w:r>
      <w:r>
        <w:rPr>
          <w:rFonts w:ascii="仿宋_GB2312" w:eastAsia="仿宋_GB2312"/>
          <w:color w:val="auto"/>
          <w:sz w:val="32"/>
          <w:szCs w:val="32"/>
          <w:highlight w:val="none"/>
        </w:rPr>
        <w:t xml:space="preserve"> </w:t>
      </w:r>
    </w:p>
    <w:p>
      <w:pPr>
        <w:shd w:val="clear"/>
        <w:ind w:firstLine="567"/>
        <w:rPr>
          <w:rFonts w:ascii="黑体" w:eastAsia="黑体"/>
          <w:color w:val="auto"/>
          <w:sz w:val="32"/>
          <w:szCs w:val="32"/>
          <w:highlight w:val="none"/>
        </w:rPr>
      </w:pPr>
      <w:r>
        <w:rPr>
          <w:rFonts w:hint="eastAsia" w:ascii="黑体" w:eastAsia="黑体"/>
          <w:color w:val="auto"/>
          <w:sz w:val="32"/>
          <w:szCs w:val="32"/>
          <w:highlight w:val="none"/>
        </w:rPr>
        <w:t>二、收入预算总体情况说明</w:t>
      </w:r>
    </w:p>
    <w:p>
      <w:pPr>
        <w:shd w:val="clear"/>
        <w:ind w:firstLine="707" w:firstLineChars="22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2021年收入预算6,373.98万元，其中：</w:t>
      </w:r>
      <w:r>
        <w:rPr>
          <w:rFonts w:hint="eastAsia" w:eastAsia="仿宋_GB2312"/>
          <w:color w:val="auto"/>
          <w:sz w:val="32"/>
          <w:szCs w:val="32"/>
          <w:highlight w:val="none"/>
        </w:rPr>
        <w:t>一般公共预算收入</w:t>
      </w:r>
      <w:r>
        <w:rPr>
          <w:rFonts w:hint="eastAsia" w:ascii="仿宋_GB2312" w:eastAsia="仿宋_GB2312"/>
          <w:color w:val="auto"/>
          <w:sz w:val="32"/>
          <w:szCs w:val="32"/>
          <w:highlight w:val="none"/>
        </w:rPr>
        <w:t xml:space="preserve">6,373.98万元，政府性基金收入 </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xml:space="preserve">万元，国有资本经营预算收入 </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default" w:ascii="仿宋_GB2312" w:eastAsia="仿宋_GB2312"/>
          <w:color w:val="auto"/>
          <w:sz w:val="32"/>
          <w:szCs w:val="32"/>
          <w:highlight w:val="none"/>
        </w:rPr>
        <w:t>，</w:t>
      </w:r>
      <w:r>
        <w:rPr>
          <w:rFonts w:hint="eastAsia" w:ascii="仿宋_GB2312" w:eastAsia="仿宋_GB2312"/>
          <w:color w:val="auto"/>
          <w:sz w:val="32"/>
          <w:szCs w:val="32"/>
          <w:highlight w:val="none"/>
          <w:lang w:val="en-US" w:eastAsia="zh-Hans"/>
        </w:rPr>
        <w:t>财政专户管理资金收入</w:t>
      </w:r>
      <w:r>
        <w:rPr>
          <w:rFonts w:hint="default" w:ascii="仿宋_GB2312" w:eastAsia="仿宋_GB2312"/>
          <w:color w:val="auto"/>
          <w:sz w:val="32"/>
          <w:szCs w:val="32"/>
          <w:highlight w:val="none"/>
          <w:lang w:eastAsia="zh-Hans"/>
        </w:rPr>
        <w:t>0</w:t>
      </w:r>
      <w:r>
        <w:rPr>
          <w:rFonts w:hint="eastAsia" w:ascii="仿宋_GB2312" w:eastAsia="仿宋_GB2312"/>
          <w:color w:val="auto"/>
          <w:sz w:val="32"/>
          <w:szCs w:val="32"/>
          <w:highlight w:val="none"/>
          <w:lang w:val="en-US" w:eastAsia="zh-Hans"/>
        </w:rPr>
        <w:t>万元</w:t>
      </w:r>
      <w:r>
        <w:rPr>
          <w:rFonts w:hint="eastAsia" w:ascii="仿宋_GB2312" w:eastAsia="仿宋_GB2312"/>
          <w:color w:val="auto"/>
          <w:sz w:val="32"/>
          <w:szCs w:val="32"/>
          <w:highlight w:val="none"/>
          <w:lang w:eastAsia="zh-CN"/>
        </w:rPr>
        <w:t>。</w:t>
      </w:r>
    </w:p>
    <w:p>
      <w:pPr>
        <w:shd w:val="clear"/>
        <w:ind w:firstLine="709"/>
        <w:rPr>
          <w:rFonts w:ascii="黑体" w:eastAsia="黑体"/>
          <w:color w:val="auto"/>
          <w:sz w:val="32"/>
          <w:szCs w:val="32"/>
          <w:highlight w:val="none"/>
        </w:rPr>
      </w:pPr>
      <w:r>
        <w:rPr>
          <w:rFonts w:hint="eastAsia" w:ascii="黑体" w:eastAsia="黑体"/>
          <w:color w:val="auto"/>
          <w:sz w:val="32"/>
          <w:szCs w:val="32"/>
          <w:highlight w:val="none"/>
        </w:rPr>
        <w:t>三、支出预算总体情况说明</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2021年支出预算6,373.98万元，其中：基本支出4446.45万元，占年度计划的</w:t>
      </w:r>
      <w:r>
        <w:rPr>
          <w:rFonts w:hint="eastAsia" w:ascii="仿宋_GB2312" w:eastAsia="仿宋_GB2312"/>
          <w:color w:val="auto"/>
          <w:sz w:val="32"/>
          <w:szCs w:val="32"/>
          <w:highlight w:val="none"/>
          <w:lang w:val="en-US" w:eastAsia="zh-CN"/>
        </w:rPr>
        <w:t>69.76</w:t>
      </w:r>
      <w:r>
        <w:rPr>
          <w:rFonts w:hint="eastAsia" w:ascii="仿宋_GB2312" w:eastAsia="仿宋_GB2312"/>
          <w:color w:val="auto"/>
          <w:sz w:val="32"/>
          <w:szCs w:val="32"/>
          <w:highlight w:val="none"/>
        </w:rPr>
        <w:t>%；项目支出1,927.53 万元，占年度计划的</w:t>
      </w:r>
      <w:r>
        <w:rPr>
          <w:rFonts w:hint="eastAsia" w:ascii="仿宋_GB2312" w:eastAsia="仿宋_GB2312"/>
          <w:color w:val="auto"/>
          <w:sz w:val="32"/>
          <w:szCs w:val="32"/>
          <w:highlight w:val="none"/>
          <w:lang w:val="en-US" w:eastAsia="zh-CN"/>
        </w:rPr>
        <w:t>30.24</w:t>
      </w:r>
      <w:r>
        <w:rPr>
          <w:rFonts w:hint="eastAsia" w:ascii="仿宋_GB2312" w:eastAsia="仿宋_GB2312"/>
          <w:color w:val="auto"/>
          <w:sz w:val="32"/>
          <w:szCs w:val="32"/>
          <w:highlight w:val="none"/>
        </w:rPr>
        <w:t xml:space="preserve">%。 </w:t>
      </w:r>
    </w:p>
    <w:p>
      <w:pPr>
        <w:shd w:val="clea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四、财政拨款收支预算总体情况说明</w:t>
      </w:r>
    </w:p>
    <w:p>
      <w:pPr>
        <w:shd w:val="clea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 xml:space="preserve"> 2021年一般公共预算收支预算6,373.98万元，政府性基金收支预算</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万元，国有资本经营收支预算</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万元，与2020年相比，收入支出增长1173.92万元。主要原因是：</w:t>
      </w:r>
      <w:r>
        <w:rPr>
          <w:rFonts w:hint="eastAsia" w:ascii="仿宋_GB2312" w:eastAsia="仿宋_GB2312"/>
          <w:color w:val="auto"/>
          <w:sz w:val="32"/>
          <w:szCs w:val="32"/>
          <w:highlight w:val="none"/>
          <w:lang w:val="en-US" w:eastAsia="zh-CN"/>
        </w:rPr>
        <w:t>人员经费增加390.96万元，公用经费增加0.01万元，项目经费增加795.95万元。</w:t>
      </w:r>
    </w:p>
    <w:p>
      <w:pPr>
        <w:shd w:val="clear"/>
        <w:ind w:firstLine="640" w:firstLineChars="200"/>
        <w:rPr>
          <w:rFonts w:ascii="仿宋_GB2312" w:hAnsi="Times New Roman" w:eastAsia="仿宋_GB2312" w:cs="Times New Roman"/>
          <w:color w:val="auto"/>
          <w:sz w:val="32"/>
          <w:szCs w:val="32"/>
          <w:highlight w:val="none"/>
        </w:rPr>
      </w:pPr>
      <w:r>
        <w:rPr>
          <w:rFonts w:hint="eastAsia" w:ascii="黑体" w:hAnsi="黑体" w:eastAsia="黑体" w:cs="Times New Roman"/>
          <w:color w:val="auto"/>
          <w:sz w:val="32"/>
          <w:szCs w:val="32"/>
          <w:highlight w:val="none"/>
        </w:rPr>
        <w:t>五、一般公共预算支出预算情况说明</w:t>
      </w:r>
    </w:p>
    <w:p>
      <w:pPr>
        <w:shd w:val="clear"/>
        <w:ind w:firstLine="70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2021</w:t>
      </w:r>
      <w:r>
        <w:rPr>
          <w:rFonts w:ascii="Times New Roman" w:hAnsi="Times New Roman" w:eastAsia="仿宋_GB2312" w:cs="Times New Roman"/>
          <w:color w:val="auto"/>
          <w:sz w:val="32"/>
          <w:szCs w:val="32"/>
          <w:highlight w:val="none"/>
        </w:rPr>
        <w:t>年一般公共预算支出年初预算为</w:t>
      </w:r>
      <w:r>
        <w:rPr>
          <w:rFonts w:hint="eastAsia" w:ascii="仿宋_GB2312" w:eastAsia="仿宋_GB2312"/>
          <w:color w:val="auto"/>
          <w:sz w:val="32"/>
          <w:szCs w:val="32"/>
          <w:highlight w:val="none"/>
        </w:rPr>
        <w:t>6,373.98</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其中</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基本支出4,446.45 万元，占</w:t>
      </w:r>
      <w:r>
        <w:rPr>
          <w:rFonts w:hint="eastAsia" w:ascii="Times New Roman" w:hAnsi="Times New Roman" w:eastAsia="仿宋_GB2312" w:cs="Times New Roman"/>
          <w:color w:val="auto"/>
          <w:sz w:val="32"/>
          <w:szCs w:val="32"/>
          <w:highlight w:val="none"/>
          <w:lang w:val="en-US" w:eastAsia="zh-CN"/>
        </w:rPr>
        <w:t>69.76</w:t>
      </w:r>
      <w:r>
        <w:rPr>
          <w:rFonts w:hint="eastAsia" w:ascii="Times New Roman" w:hAnsi="Times New Roman" w:eastAsia="仿宋_GB2312" w:cs="Times New Roman"/>
          <w:color w:val="auto"/>
          <w:sz w:val="32"/>
          <w:szCs w:val="32"/>
          <w:highlight w:val="none"/>
        </w:rPr>
        <w:t>%；项目支出1,927.53 万元，占</w:t>
      </w:r>
      <w:r>
        <w:rPr>
          <w:rFonts w:hint="eastAsia" w:ascii="Times New Roman" w:hAnsi="Times New Roman" w:eastAsia="仿宋_GB2312" w:cs="Times New Roman"/>
          <w:color w:val="auto"/>
          <w:sz w:val="32"/>
          <w:szCs w:val="32"/>
          <w:highlight w:val="none"/>
          <w:lang w:val="en-US" w:eastAsia="zh-CN"/>
        </w:rPr>
        <w:t>30.24</w:t>
      </w:r>
      <w:r>
        <w:rPr>
          <w:rFonts w:hint="eastAsia" w:ascii="Times New Roman" w:hAnsi="Times New Roman" w:eastAsia="仿宋_GB2312" w:cs="Times New Roman"/>
          <w:color w:val="auto"/>
          <w:sz w:val="32"/>
          <w:szCs w:val="32"/>
          <w:highlight w:val="none"/>
        </w:rPr>
        <w:t>%。</w:t>
      </w:r>
    </w:p>
    <w:p>
      <w:pPr>
        <w:numPr>
          <w:ilvl w:val="0"/>
          <w:numId w:val="2"/>
        </w:numPr>
        <w:shd w:val="clear"/>
        <w:ind w:firstLine="709"/>
        <w:rPr>
          <w:rFonts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rPr>
        <w:t>一般公共预算基本支出预算情况说明</w:t>
      </w:r>
    </w:p>
    <w:p>
      <w:pPr>
        <w:shd w:val="clear"/>
        <w:ind w:firstLine="70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2021</w:t>
      </w:r>
      <w:r>
        <w:rPr>
          <w:rFonts w:ascii="Times New Roman" w:hAnsi="Times New Roman" w:eastAsia="仿宋_GB2312" w:cs="Times New Roman"/>
          <w:color w:val="auto"/>
          <w:sz w:val="32"/>
          <w:szCs w:val="32"/>
          <w:highlight w:val="none"/>
        </w:rPr>
        <w:t>年一般公共预算</w:t>
      </w:r>
      <w:r>
        <w:rPr>
          <w:rFonts w:hint="eastAsia" w:ascii="Times New Roman" w:hAnsi="Times New Roman" w:eastAsia="仿宋_GB2312" w:cs="Times New Roman"/>
          <w:color w:val="auto"/>
          <w:sz w:val="32"/>
          <w:szCs w:val="32"/>
          <w:highlight w:val="none"/>
        </w:rPr>
        <w:t>基本支出</w:t>
      </w:r>
      <w:r>
        <w:rPr>
          <w:rFonts w:ascii="Times New Roman" w:hAnsi="Times New Roman" w:eastAsia="仿宋_GB2312" w:cs="Times New Roman"/>
          <w:color w:val="auto"/>
          <w:sz w:val="32"/>
          <w:szCs w:val="32"/>
          <w:highlight w:val="none"/>
        </w:rPr>
        <w:t>年初预算为</w:t>
      </w:r>
      <w:r>
        <w:rPr>
          <w:rFonts w:hint="eastAsia" w:ascii="Times New Roman" w:hAnsi="Times New Roman" w:eastAsia="仿宋_GB2312" w:cs="Times New Roman"/>
          <w:color w:val="auto"/>
          <w:sz w:val="32"/>
          <w:szCs w:val="32"/>
          <w:highlight w:val="none"/>
        </w:rPr>
        <w:t>4,446.45</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其中</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人员经费支出4,445.51万元，占</w:t>
      </w:r>
      <w:r>
        <w:rPr>
          <w:rFonts w:hint="eastAsia" w:ascii="Times New Roman" w:hAnsi="Times New Roman" w:eastAsia="仿宋_GB2312" w:cs="Times New Roman"/>
          <w:color w:val="auto"/>
          <w:sz w:val="32"/>
          <w:szCs w:val="32"/>
          <w:highlight w:val="none"/>
          <w:lang w:val="en-US" w:eastAsia="zh-CN"/>
        </w:rPr>
        <w:t>99.98</w:t>
      </w:r>
      <w:r>
        <w:rPr>
          <w:rFonts w:hint="eastAsia" w:ascii="Times New Roman" w:hAnsi="Times New Roman" w:eastAsia="仿宋_GB2312" w:cs="Times New Roman"/>
          <w:color w:val="auto"/>
          <w:sz w:val="32"/>
          <w:szCs w:val="32"/>
          <w:highlight w:val="none"/>
        </w:rPr>
        <w:t>%；公用经费支出0.94万元，占</w:t>
      </w:r>
      <w:r>
        <w:rPr>
          <w:rFonts w:hint="eastAsia" w:ascii="Times New Roman" w:hAnsi="Times New Roman" w:eastAsia="仿宋_GB2312" w:cs="Times New Roman"/>
          <w:color w:val="auto"/>
          <w:sz w:val="32"/>
          <w:szCs w:val="32"/>
          <w:highlight w:val="none"/>
          <w:lang w:val="en-US" w:eastAsia="zh-CN"/>
        </w:rPr>
        <w:t>0.02</w:t>
      </w:r>
      <w:r>
        <w:rPr>
          <w:rFonts w:hint="eastAsia" w:ascii="Times New Roman" w:hAnsi="Times New Roman" w:eastAsia="仿宋_GB2312" w:cs="Times New Roman"/>
          <w:color w:val="auto"/>
          <w:sz w:val="32"/>
          <w:szCs w:val="32"/>
          <w:highlight w:val="none"/>
        </w:rPr>
        <w:t>%。</w:t>
      </w:r>
    </w:p>
    <w:p>
      <w:pPr>
        <w:shd w:val="clear"/>
        <w:spacing w:line="600" w:lineRule="exact"/>
        <w:ind w:firstLine="640" w:firstLineChars="200"/>
        <w:rPr>
          <w:rFonts w:ascii="Times New Roman" w:hAnsi="Times New Roman" w:eastAsia="黑体" w:cs="Times New Roman"/>
          <w:color w:val="auto"/>
          <w:kern w:val="0"/>
          <w:sz w:val="32"/>
          <w:szCs w:val="32"/>
          <w:highlight w:val="none"/>
        </w:rPr>
      </w:pPr>
      <w:r>
        <w:rPr>
          <w:rFonts w:hint="eastAsia" w:ascii="Times New Roman" w:hAnsi="Times New Roman" w:eastAsia="黑体" w:cs="黑体"/>
          <w:color w:val="auto"/>
          <w:kern w:val="0"/>
          <w:sz w:val="32"/>
          <w:szCs w:val="32"/>
          <w:highlight w:val="none"/>
          <w:lang w:bidi="ar"/>
        </w:rPr>
        <w:t>七、支出预算经济分类情况说明</w:t>
      </w:r>
    </w:p>
    <w:p>
      <w:pPr>
        <w:shd w:val="clear"/>
        <w:ind w:firstLine="709"/>
        <w:rPr>
          <w:rFonts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lang w:bidi="ar"/>
        </w:rPr>
        <w:t>按照《财政部关于印发</w:t>
      </w:r>
      <w:r>
        <w:rPr>
          <w:rFonts w:ascii="Times New Roman" w:hAnsi="Times New Roman" w:eastAsia="仿宋_GB2312" w:cs="Times New Roman"/>
          <w:color w:val="auto"/>
          <w:sz w:val="32"/>
          <w:szCs w:val="32"/>
          <w:highlight w:val="none"/>
          <w:lang w:bidi="ar"/>
        </w:rPr>
        <w:t>&lt;</w:t>
      </w:r>
      <w:r>
        <w:rPr>
          <w:rFonts w:hint="eastAsia" w:ascii="Times New Roman" w:hAnsi="Times New Roman" w:eastAsia="仿宋_GB2312" w:cs="仿宋_GB2312"/>
          <w:color w:val="auto"/>
          <w:sz w:val="32"/>
          <w:szCs w:val="32"/>
          <w:highlight w:val="none"/>
          <w:lang w:bidi="ar"/>
        </w:rPr>
        <w:t>支出经济分类科目改革方案</w:t>
      </w:r>
      <w:r>
        <w:rPr>
          <w:rFonts w:ascii="Times New Roman" w:hAnsi="Times New Roman" w:eastAsia="仿宋_GB2312" w:cs="Times New Roman"/>
          <w:color w:val="auto"/>
          <w:sz w:val="32"/>
          <w:szCs w:val="32"/>
          <w:highlight w:val="none"/>
          <w:lang w:bidi="ar"/>
        </w:rPr>
        <w:t>&gt;</w:t>
      </w:r>
      <w:r>
        <w:rPr>
          <w:rFonts w:hint="eastAsia" w:ascii="Times New Roman" w:hAnsi="Times New Roman" w:eastAsia="仿宋_GB2312" w:cs="仿宋_GB2312"/>
          <w:color w:val="auto"/>
          <w:sz w:val="32"/>
          <w:szCs w:val="32"/>
          <w:highlight w:val="none"/>
          <w:lang w:bidi="ar"/>
        </w:rPr>
        <w:t>的通知》（财预〔</w:t>
      </w:r>
      <w:r>
        <w:rPr>
          <w:rFonts w:ascii="Times New Roman" w:hAnsi="Times New Roman" w:eastAsia="仿宋_GB2312" w:cs="Times New Roman"/>
          <w:color w:val="auto"/>
          <w:sz w:val="32"/>
          <w:szCs w:val="32"/>
          <w:highlight w:val="none"/>
          <w:lang w:bidi="ar"/>
        </w:rPr>
        <w:t>2017</w:t>
      </w:r>
      <w:r>
        <w:rPr>
          <w:rFonts w:hint="eastAsia" w:ascii="Times New Roman" w:hAnsi="Times New Roman" w:eastAsia="仿宋_GB2312" w:cs="仿宋_GB2312"/>
          <w:color w:val="auto"/>
          <w:sz w:val="32"/>
          <w:szCs w:val="32"/>
          <w:highlight w:val="none"/>
          <w:lang w:bidi="ar"/>
        </w:rPr>
        <w:t>〕</w:t>
      </w:r>
      <w:r>
        <w:rPr>
          <w:rFonts w:ascii="Times New Roman" w:hAnsi="Times New Roman" w:eastAsia="仿宋_GB2312" w:cs="Times New Roman"/>
          <w:color w:val="auto"/>
          <w:sz w:val="32"/>
          <w:szCs w:val="32"/>
          <w:highlight w:val="none"/>
          <w:lang w:bidi="ar"/>
        </w:rPr>
        <w:t>98</w:t>
      </w:r>
      <w:r>
        <w:rPr>
          <w:rFonts w:hint="eastAsia" w:ascii="Times New Roman" w:hAnsi="Times New Roman" w:eastAsia="仿宋_GB2312" w:cs="仿宋_GB2312"/>
          <w:color w:val="auto"/>
          <w:sz w:val="32"/>
          <w:szCs w:val="32"/>
          <w:highlight w:val="none"/>
          <w:lang w:bidi="ar"/>
        </w:rPr>
        <w:t>号）要求，从</w:t>
      </w:r>
      <w:r>
        <w:rPr>
          <w:rFonts w:ascii="Times New Roman" w:hAnsi="Times New Roman" w:eastAsia="仿宋_GB2312" w:cs="Times New Roman"/>
          <w:color w:val="auto"/>
          <w:sz w:val="32"/>
          <w:szCs w:val="32"/>
          <w:highlight w:val="none"/>
          <w:lang w:bidi="ar"/>
        </w:rPr>
        <w:t>2018</w:t>
      </w:r>
      <w:r>
        <w:rPr>
          <w:rFonts w:hint="eastAsia" w:ascii="Times New Roman" w:hAnsi="Times New Roman" w:eastAsia="仿宋_GB2312" w:cs="仿宋_GB2312"/>
          <w:color w:val="auto"/>
          <w:sz w:val="32"/>
          <w:szCs w:val="32"/>
          <w:highlight w:val="none"/>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仿宋_GB2312"/>
          <w:color w:val="auto"/>
          <w:sz w:val="32"/>
          <w:szCs w:val="32"/>
          <w:highlight w:val="none"/>
          <w:lang w:bidi="ar"/>
        </w:rPr>
        <w:t>按两套经济分类科目分别反映不同资金来源的全部预算支出。</w:t>
      </w:r>
    </w:p>
    <w:p>
      <w:pPr>
        <w:shd w:val="clear"/>
        <w:ind w:firstLine="640" w:firstLineChars="200"/>
        <w:rPr>
          <w:rFonts w:ascii="黑体" w:eastAsia="黑体"/>
          <w:color w:val="auto"/>
          <w:sz w:val="32"/>
          <w:szCs w:val="32"/>
          <w:highlight w:val="none"/>
        </w:rPr>
      </w:pPr>
      <w:r>
        <w:rPr>
          <w:rFonts w:hint="eastAsia" w:ascii="黑体" w:eastAsia="黑体"/>
          <w:color w:val="auto"/>
          <w:sz w:val="32"/>
          <w:szCs w:val="32"/>
          <w:highlight w:val="none"/>
        </w:rPr>
        <w:t>八、</w:t>
      </w:r>
      <w:r>
        <w:rPr>
          <w:rFonts w:hint="eastAsia" w:ascii="Times New Roman" w:hAnsi="Times New Roman" w:eastAsia="仿宋_GB2312" w:cs="Times New Roman"/>
          <w:b/>
          <w:bCs/>
          <w:color w:val="auto"/>
          <w:sz w:val="32"/>
          <w:szCs w:val="32"/>
          <w:highlight w:val="none"/>
        </w:rPr>
        <w:t>一般公共预算“三公”经费支出预算情况说明</w:t>
      </w:r>
    </w:p>
    <w:p>
      <w:pPr>
        <w:shd w:val="clear"/>
        <w:ind w:left="319" w:leftChars="152" w:firstLine="758" w:firstLineChars="237"/>
        <w:rPr>
          <w:rFonts w:ascii="仿宋_GB2312" w:eastAsia="仿宋_GB2312"/>
          <w:color w:val="auto"/>
          <w:sz w:val="32"/>
          <w:szCs w:val="32"/>
          <w:highlight w:val="none"/>
        </w:rPr>
      </w:pPr>
      <w:r>
        <w:rPr>
          <w:rFonts w:hint="eastAsia" w:ascii="仿宋_GB2312" w:eastAsia="仿宋_GB2312"/>
          <w:color w:val="auto"/>
          <w:sz w:val="32"/>
          <w:szCs w:val="32"/>
          <w:highlight w:val="none"/>
        </w:rPr>
        <w:t>2021年“三公”经费预算为</w:t>
      </w:r>
      <w:r>
        <w:rPr>
          <w:rFonts w:hint="eastAsia" w:ascii="仿宋_GB2312" w:eastAsia="仿宋_GB2312"/>
          <w:color w:val="auto"/>
          <w:sz w:val="32"/>
          <w:szCs w:val="32"/>
          <w:highlight w:val="none"/>
          <w:lang w:val="en-US" w:eastAsia="zh-CN"/>
        </w:rPr>
        <w:t>21.14</w:t>
      </w:r>
      <w:r>
        <w:rPr>
          <w:rFonts w:hint="eastAsia" w:ascii="仿宋_GB2312" w:eastAsia="仿宋_GB2312"/>
          <w:color w:val="auto"/>
          <w:sz w:val="32"/>
          <w:szCs w:val="32"/>
          <w:highlight w:val="none"/>
        </w:rPr>
        <w:t>万元。比2020年减少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hd w:val="clear"/>
        <w:kinsoku w:val="0"/>
        <w:overflowPunct w:val="0"/>
        <w:autoSpaceDE w:val="0"/>
        <w:autoSpaceDN w:val="0"/>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具体支出情况如下：</w:t>
      </w:r>
    </w:p>
    <w:p>
      <w:pPr>
        <w:shd w:val="clear"/>
        <w:kinsoku w:val="0"/>
        <w:overflowPunct w:val="0"/>
        <w:autoSpaceDE w:val="0"/>
        <w:autoSpaceDN w:val="0"/>
        <w:spacing w:line="600" w:lineRule="exact"/>
        <w:ind w:firstLine="643" w:firstLineChars="200"/>
        <w:rPr>
          <w:rFonts w:ascii="Times New Roman" w:hAnsi="Times New Roman" w:eastAsia="仿宋_GB2312" w:cs="Times New Roman"/>
          <w:color w:val="auto"/>
          <w:sz w:val="32"/>
          <w:szCs w:val="32"/>
          <w:highlight w:val="none"/>
        </w:rPr>
      </w:pPr>
      <w:r>
        <w:rPr>
          <w:rFonts w:hint="eastAsia" w:ascii="仿宋_GB2312" w:eastAsia="仿宋_GB2312"/>
          <w:b/>
          <w:bCs/>
          <w:color w:val="auto"/>
          <w:sz w:val="32"/>
          <w:szCs w:val="32"/>
          <w:highlight w:val="none"/>
        </w:rPr>
        <w:t>因公出国（境）费0万元</w:t>
      </w:r>
      <w:r>
        <w:rPr>
          <w:rFonts w:hint="eastAsia" w:ascii="仿宋_GB2312" w:eastAsia="仿宋_GB2312"/>
          <w:color w:val="auto"/>
          <w:sz w:val="32"/>
          <w:szCs w:val="32"/>
          <w:highlight w:val="none"/>
        </w:rPr>
        <w:t>，</w:t>
      </w:r>
      <w:r>
        <w:rPr>
          <w:rFonts w:hint="eastAsia" w:ascii="Times New Roman" w:hAnsi="Times New Roman" w:eastAsia="仿宋_GB2312" w:cs="仿宋_GB2312"/>
          <w:color w:val="auto"/>
          <w:sz w:val="32"/>
          <w:szCs w:val="32"/>
          <w:highlight w:val="none"/>
          <w:lang w:bidi="ar"/>
        </w:rPr>
        <w:t>主要用于单位工作人员公务出国（境）的住宿费、差旅费、伙食补助费、杂费、培训费等支出。预算数比</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w:t>
      </w:r>
      <w:r>
        <w:rPr>
          <w:rFonts w:hint="eastAsia" w:ascii="Times New Roman" w:hAnsi="Times New Roman" w:eastAsia="仿宋_GB2312" w:cs="仿宋_GB2312"/>
          <w:color w:val="auto"/>
          <w:sz w:val="32"/>
          <w:szCs w:val="32"/>
          <w:highlight w:val="none"/>
          <w:lang w:bidi="ar"/>
        </w:rPr>
        <w:t>年保持一致。</w:t>
      </w:r>
    </w:p>
    <w:p>
      <w:pPr>
        <w:shd w:val="clear"/>
        <w:ind w:left="19" w:leftChars="9" w:firstLine="623" w:firstLineChars="194"/>
        <w:rPr>
          <w:rFonts w:ascii="仿宋_GB2312" w:eastAsia="仿宋_GB2312"/>
          <w:color w:val="auto"/>
          <w:sz w:val="32"/>
          <w:szCs w:val="32"/>
          <w:highlight w:val="none"/>
        </w:rPr>
      </w:pPr>
      <w:r>
        <w:rPr>
          <w:rFonts w:hint="eastAsia" w:ascii="仿宋_GB2312" w:eastAsia="仿宋_GB2312"/>
          <w:b/>
          <w:bCs/>
          <w:color w:val="auto"/>
          <w:sz w:val="32"/>
          <w:szCs w:val="32"/>
          <w:highlight w:val="none"/>
        </w:rPr>
        <w:t>公务用车购置费及维护费</w:t>
      </w:r>
      <w:r>
        <w:rPr>
          <w:rFonts w:hint="eastAsia" w:ascii="仿宋_GB2312" w:eastAsia="仿宋_GB2312"/>
          <w:b/>
          <w:bCs/>
          <w:color w:val="auto"/>
          <w:sz w:val="32"/>
          <w:szCs w:val="32"/>
          <w:highlight w:val="none"/>
          <w:lang w:val="en-US" w:eastAsia="zh-CN"/>
        </w:rPr>
        <w:t>6.46</w:t>
      </w:r>
      <w:r>
        <w:rPr>
          <w:rFonts w:hint="eastAsia" w:ascii="仿宋_GB2312" w:eastAsia="仿宋_GB2312"/>
          <w:b/>
          <w:bCs/>
          <w:color w:val="auto"/>
          <w:sz w:val="32"/>
          <w:szCs w:val="32"/>
          <w:highlight w:val="none"/>
        </w:rPr>
        <w:t>万元</w:t>
      </w:r>
      <w:r>
        <w:rPr>
          <w:rFonts w:hint="eastAsia" w:ascii="仿宋_GB2312" w:eastAsia="仿宋_GB2312"/>
          <w:color w:val="auto"/>
          <w:sz w:val="32"/>
          <w:szCs w:val="32"/>
          <w:highlight w:val="none"/>
        </w:rPr>
        <w:t>，其中，</w:t>
      </w:r>
      <w:r>
        <w:rPr>
          <w:rFonts w:hint="eastAsia" w:ascii="Times New Roman" w:hAnsi="Times New Roman" w:eastAsia="仿宋_GB2312" w:cs="Times New Roman"/>
          <w:color w:val="auto"/>
          <w:sz w:val="32"/>
          <w:szCs w:val="32"/>
          <w:highlight w:val="none"/>
          <w:lang w:bidi="ar"/>
        </w:rPr>
        <w:t>公务用车购置费</w:t>
      </w:r>
      <w:r>
        <w:rPr>
          <w:rFonts w:hint="eastAsia" w:ascii="Times New Roman" w:hAnsi="Times New Roman" w:eastAsia="仿宋_GB2312" w:cs="Times New Roman"/>
          <w:color w:val="auto"/>
          <w:sz w:val="32"/>
          <w:szCs w:val="32"/>
          <w:highlight w:val="none"/>
          <w:lang w:val="en-US" w:eastAsia="zh-CN" w:bidi="ar"/>
        </w:rPr>
        <w:t>0</w:t>
      </w:r>
      <w:r>
        <w:rPr>
          <w:rFonts w:hint="eastAsia" w:ascii="Times New Roman" w:hAnsi="Times New Roman" w:eastAsia="仿宋_GB2312" w:cs="Times New Roman"/>
          <w:color w:val="auto"/>
          <w:sz w:val="32"/>
          <w:szCs w:val="32"/>
          <w:highlight w:val="none"/>
          <w:lang w:bidi="ar"/>
        </w:rPr>
        <w:t>万元；</w:t>
      </w:r>
      <w:r>
        <w:rPr>
          <w:rFonts w:hint="eastAsia" w:ascii="仿宋_GB2312" w:eastAsia="仿宋_GB2312"/>
          <w:color w:val="auto"/>
          <w:sz w:val="32"/>
          <w:szCs w:val="32"/>
          <w:highlight w:val="none"/>
        </w:rPr>
        <w:t>公务用车维护费</w:t>
      </w:r>
      <w:r>
        <w:rPr>
          <w:rFonts w:hint="eastAsia" w:ascii="仿宋_GB2312" w:eastAsia="仿宋_GB2312"/>
          <w:color w:val="auto"/>
          <w:sz w:val="32"/>
          <w:szCs w:val="32"/>
          <w:highlight w:val="none"/>
          <w:lang w:val="en-US" w:eastAsia="zh-CN"/>
        </w:rPr>
        <w:t>6.46</w:t>
      </w:r>
      <w:r>
        <w:rPr>
          <w:rFonts w:hint="eastAsia" w:ascii="仿宋_GB2312" w:eastAsia="仿宋_GB2312"/>
          <w:color w:val="auto"/>
          <w:sz w:val="32"/>
          <w:szCs w:val="32"/>
          <w:highlight w:val="none"/>
        </w:rPr>
        <w:t>万元。</w:t>
      </w:r>
      <w:r>
        <w:rPr>
          <w:rFonts w:hint="eastAsia" w:ascii="Times New Roman" w:hAnsi="Times New Roman" w:eastAsia="仿宋_GB2312" w:cs="Times New Roman"/>
          <w:color w:val="auto"/>
          <w:sz w:val="32"/>
          <w:szCs w:val="32"/>
          <w:highlight w:val="none"/>
          <w:lang w:bidi="ar"/>
        </w:rPr>
        <w:t>主要用于开展工作所需公务用车的燃料费、维修费、过路过桥费、保险费等支出。公务用车购置费预算数与</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年持平，均为</w:t>
      </w:r>
      <w:r>
        <w:rPr>
          <w:rFonts w:ascii="Times New Roman" w:hAnsi="Times New Roman" w:eastAsia="仿宋_GB2312" w:cs="Times New Roman"/>
          <w:color w:val="auto"/>
          <w:sz w:val="32"/>
          <w:szCs w:val="32"/>
          <w:highlight w:val="none"/>
          <w:lang w:bidi="ar"/>
        </w:rPr>
        <w:t>0</w:t>
      </w:r>
      <w:r>
        <w:rPr>
          <w:rFonts w:hint="eastAsia" w:ascii="Times New Roman" w:hAnsi="Times New Roman" w:eastAsia="仿宋_GB2312" w:cs="Times New Roman"/>
          <w:color w:val="auto"/>
          <w:sz w:val="32"/>
          <w:szCs w:val="32"/>
          <w:highlight w:val="none"/>
          <w:lang w:bidi="ar"/>
        </w:rPr>
        <w:t>万元。公务用车运行维护费预算数比</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2020年减少</w:t>
      </w:r>
      <w:r>
        <w:rPr>
          <w:rFonts w:hint="eastAsia" w:ascii="Times New Roman" w:hAnsi="Times New Roman" w:eastAsia="仿宋_GB2312" w:cs="Times New Roman"/>
          <w:color w:val="auto"/>
          <w:sz w:val="32"/>
          <w:szCs w:val="32"/>
          <w:highlight w:val="none"/>
          <w:lang w:val="en-US" w:eastAsia="zh-CN" w:bidi="ar"/>
        </w:rPr>
        <w:t>0</w:t>
      </w:r>
      <w:r>
        <w:rPr>
          <w:rFonts w:hint="eastAsia" w:ascii="Times New Roman" w:hAnsi="Times New Roman" w:eastAsia="仿宋_GB2312" w:cs="Times New Roman"/>
          <w:color w:val="auto"/>
          <w:sz w:val="32"/>
          <w:szCs w:val="32"/>
          <w:highlight w:val="none"/>
          <w:lang w:bidi="ar"/>
        </w:rPr>
        <w:t>万元。主要原因：厉行勤俭节约，压减公务用车运行维护费。</w:t>
      </w:r>
    </w:p>
    <w:p>
      <w:pPr>
        <w:shd w:val="clear"/>
        <w:ind w:left="19" w:leftChars="9" w:firstLine="623" w:firstLineChars="194"/>
        <w:rPr>
          <w:rFonts w:ascii="仿宋_GB2312" w:eastAsia="仿宋_GB2312"/>
          <w:b/>
          <w:color w:val="auto"/>
          <w:sz w:val="32"/>
          <w:szCs w:val="32"/>
          <w:highlight w:val="none"/>
        </w:rPr>
      </w:pPr>
      <w:r>
        <w:rPr>
          <w:rFonts w:hint="eastAsia" w:ascii="仿宋_GB2312" w:eastAsia="仿宋_GB2312"/>
          <w:b/>
          <w:bCs/>
          <w:color w:val="auto"/>
          <w:sz w:val="32"/>
          <w:szCs w:val="32"/>
          <w:highlight w:val="none"/>
        </w:rPr>
        <w:t>公务接待费</w:t>
      </w:r>
      <w:r>
        <w:rPr>
          <w:rFonts w:hint="eastAsia" w:ascii="仿宋_GB2312" w:eastAsia="仿宋_GB2312"/>
          <w:b/>
          <w:bCs/>
          <w:color w:val="auto"/>
          <w:sz w:val="32"/>
          <w:szCs w:val="32"/>
          <w:highlight w:val="none"/>
          <w:lang w:val="en-US" w:eastAsia="zh-CN"/>
        </w:rPr>
        <w:t>14.68</w:t>
      </w:r>
      <w:r>
        <w:rPr>
          <w:rFonts w:hint="eastAsia" w:ascii="仿宋_GB2312" w:eastAsia="仿宋_GB2312"/>
          <w:b/>
          <w:bCs/>
          <w:color w:val="auto"/>
          <w:sz w:val="32"/>
          <w:szCs w:val="32"/>
          <w:highlight w:val="none"/>
        </w:rPr>
        <w:t>万元</w:t>
      </w:r>
      <w:r>
        <w:rPr>
          <w:rFonts w:hint="eastAsia" w:ascii="仿宋_GB2312" w:eastAsia="仿宋_GB2312"/>
          <w:color w:val="auto"/>
          <w:sz w:val="32"/>
          <w:szCs w:val="32"/>
          <w:highlight w:val="none"/>
        </w:rPr>
        <w:t>。</w:t>
      </w:r>
      <w:r>
        <w:rPr>
          <w:rFonts w:hint="eastAsia" w:ascii="Times New Roman" w:hAnsi="Times New Roman" w:eastAsia="仿宋_GB2312" w:cs="Times New Roman"/>
          <w:color w:val="auto"/>
          <w:sz w:val="32"/>
          <w:szCs w:val="32"/>
          <w:highlight w:val="none"/>
          <w:lang w:bidi="ar"/>
        </w:rPr>
        <w:t>主要用于按规定开支的各类公务接待支出。预算数比</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2020年减少</w:t>
      </w:r>
      <w:r>
        <w:rPr>
          <w:rFonts w:hint="eastAsia" w:ascii="Times New Roman" w:hAnsi="Times New Roman" w:eastAsia="仿宋_GB2312" w:cs="Times New Roman"/>
          <w:color w:val="auto"/>
          <w:sz w:val="32"/>
          <w:szCs w:val="32"/>
          <w:highlight w:val="none"/>
          <w:lang w:val="en-US" w:eastAsia="zh-CN" w:bidi="ar"/>
        </w:rPr>
        <w:t>0</w:t>
      </w:r>
      <w:r>
        <w:rPr>
          <w:rFonts w:hint="eastAsia" w:ascii="Times New Roman" w:hAnsi="Times New Roman" w:eastAsia="仿宋_GB2312" w:cs="Times New Roman"/>
          <w:color w:val="auto"/>
          <w:sz w:val="32"/>
          <w:szCs w:val="32"/>
          <w:highlight w:val="none"/>
          <w:lang w:bidi="ar"/>
        </w:rPr>
        <w:t>万元。</w:t>
      </w:r>
      <w:r>
        <w:rPr>
          <w:rFonts w:hint="eastAsia" w:ascii="Times New Roman" w:hAnsi="Times New Roman" w:eastAsia="仿宋_GB2312" w:cs="仿宋_GB2312"/>
          <w:color w:val="auto"/>
          <w:sz w:val="32"/>
          <w:szCs w:val="32"/>
          <w:highlight w:val="none"/>
          <w:lang w:bidi="ar"/>
        </w:rPr>
        <w:t>预算数比</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w:t>
      </w:r>
      <w:r>
        <w:rPr>
          <w:rFonts w:hint="eastAsia" w:ascii="Times New Roman" w:hAnsi="Times New Roman" w:eastAsia="仿宋_GB2312" w:cs="仿宋_GB2312"/>
          <w:color w:val="auto"/>
          <w:sz w:val="32"/>
          <w:szCs w:val="32"/>
          <w:highlight w:val="none"/>
          <w:lang w:bidi="ar"/>
        </w:rPr>
        <w:t>年保持一致</w:t>
      </w:r>
      <w:r>
        <w:rPr>
          <w:rFonts w:hint="eastAsia" w:ascii="Times New Roman" w:hAnsi="Times New Roman" w:eastAsia="仿宋_GB2312" w:cs="Times New Roman"/>
          <w:color w:val="auto"/>
          <w:sz w:val="32"/>
          <w:szCs w:val="32"/>
          <w:highlight w:val="none"/>
          <w:lang w:bidi="ar"/>
        </w:rPr>
        <w:t>。</w:t>
      </w:r>
      <w:r>
        <w:rPr>
          <w:rFonts w:hint="eastAsia" w:ascii="Times New Roman" w:hAnsi="Times New Roman" w:eastAsia="仿宋_GB2312" w:cs="Times New Roman"/>
          <w:sz w:val="32"/>
          <w:szCs w:val="32"/>
          <w:lang w:bidi="ar"/>
        </w:rPr>
        <w:t>主要原因：按照中央八项规定，减少公务接待开支。</w:t>
      </w:r>
    </w:p>
    <w:p>
      <w:pPr>
        <w:shd w:val="clear"/>
        <w:ind w:firstLine="640" w:firstLineChars="200"/>
        <w:rPr>
          <w:rFonts w:ascii="黑体" w:eastAsia="黑体"/>
          <w:color w:val="auto"/>
          <w:sz w:val="32"/>
          <w:szCs w:val="32"/>
          <w:highlight w:val="none"/>
        </w:rPr>
      </w:pPr>
      <w:r>
        <w:rPr>
          <w:rFonts w:hint="eastAsia" w:ascii="黑体" w:eastAsia="黑体"/>
          <w:color w:val="auto"/>
          <w:sz w:val="32"/>
          <w:szCs w:val="32"/>
          <w:highlight w:val="none"/>
        </w:rPr>
        <w:t>九、政府性基金预算支出预算情况说明</w:t>
      </w:r>
    </w:p>
    <w:p>
      <w:pPr>
        <w:shd w:val="clear"/>
        <w:ind w:firstLine="70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2021年没有使用政府性基金预算拨款安排的支出。</w:t>
      </w:r>
    </w:p>
    <w:p>
      <w:pPr>
        <w:shd w:val="clear"/>
        <w:ind w:firstLine="709"/>
        <w:rPr>
          <w:rFonts w:ascii="黑体" w:eastAsia="黑体"/>
          <w:color w:val="auto"/>
          <w:sz w:val="32"/>
          <w:szCs w:val="32"/>
          <w:highlight w:val="none"/>
        </w:rPr>
      </w:pPr>
      <w:r>
        <w:rPr>
          <w:rFonts w:hint="eastAsia" w:ascii="黑体" w:eastAsia="黑体"/>
          <w:color w:val="auto"/>
          <w:sz w:val="32"/>
          <w:szCs w:val="32"/>
          <w:highlight w:val="none"/>
        </w:rPr>
        <w:t>十、其他重要事项的情况说明</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（一）机关运行经费支出情况说明</w:t>
      </w:r>
    </w:p>
    <w:p>
      <w:pPr>
        <w:shd w:val="clear"/>
        <w:ind w:firstLine="70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我单位不是行政机关，也不是参照公务员管理事业单位，没有机关运行经费支出。</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（二）政府采购支出情况</w:t>
      </w:r>
    </w:p>
    <w:p>
      <w:pPr>
        <w:shd w:val="clear"/>
        <w:ind w:firstLine="70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2021年无政府采购预算安排。</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（三）绩效目标设置情况</w:t>
      </w:r>
    </w:p>
    <w:p>
      <w:pPr>
        <w:shd w:val="clear"/>
        <w:ind w:firstLine="709"/>
        <w:rPr>
          <w:rFonts w:hint="eastAsia" w:ascii="仿宋_GB2312" w:eastAsia="仿宋_GB2312"/>
          <w:sz w:val="32"/>
          <w:szCs w:val="32"/>
        </w:rPr>
      </w:pPr>
      <w:r>
        <w:rPr>
          <w:rFonts w:hint="eastAsia" w:ascii="仿宋_GB2312" w:eastAsia="仿宋_GB2312"/>
          <w:sz w:val="32"/>
          <w:szCs w:val="32"/>
        </w:rPr>
        <w:t>我单位2021年预算，暂未进行项目预算绩效管理工作。</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（四）国有资产占用情况</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2020年期末，我</w:t>
      </w:r>
      <w:r>
        <w:rPr>
          <w:rFonts w:hint="eastAsia" w:ascii="仿宋_GB2312" w:eastAsia="仿宋_GB2312"/>
          <w:color w:val="auto"/>
          <w:sz w:val="32"/>
          <w:szCs w:val="32"/>
          <w:highlight w:val="none"/>
          <w:lang w:val="en-US" w:eastAsia="zh-CN"/>
        </w:rPr>
        <w:t>校</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辆，其中：一般公务用车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、一般执法执勤车辆</w:t>
      </w:r>
      <w:r>
        <w:rPr>
          <w:rFonts w:hint="eastAsia" w:ascii="仿宋_GB2312" w:eastAsia="仿宋_GB2312"/>
          <w:color w:val="auto"/>
          <w:sz w:val="32"/>
          <w:szCs w:val="32"/>
          <w:highlight w:val="none"/>
          <w:lang w:val="en-US" w:eastAsia="zh-CN"/>
        </w:rPr>
        <w:t>0辆、特种专业技术用车0辆、其他用车0辆，其他用车主要是离退休干部用车0辆、应急保障车辆 0辆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单价50万元以上通用设备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套</w:t>
      </w:r>
      <w:r>
        <w:rPr>
          <w:rFonts w:hint="eastAsia" w:ascii="仿宋_GB2312" w:eastAsia="仿宋_GB2312"/>
          <w:color w:val="auto"/>
          <w:sz w:val="32"/>
          <w:szCs w:val="32"/>
          <w:highlight w:val="none"/>
        </w:rPr>
        <w:t>，单位价值100万元以上专用设备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套</w:t>
      </w:r>
      <w:r>
        <w:rPr>
          <w:rFonts w:hint="eastAsia" w:ascii="仿宋_GB2312" w:eastAsia="仿宋_GB2312"/>
          <w:color w:val="auto"/>
          <w:sz w:val="32"/>
          <w:szCs w:val="32"/>
          <w:highlight w:val="none"/>
        </w:rPr>
        <w:t>。</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（五）专项转移支付情况</w:t>
      </w:r>
    </w:p>
    <w:p>
      <w:pPr>
        <w:shd w:val="clear"/>
        <w:ind w:firstLine="700" w:firstLineChars="21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我单位暂</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负责的专项转移支付项目</w:t>
      </w:r>
      <w:r>
        <w:rPr>
          <w:rFonts w:hint="eastAsia" w:ascii="仿宋_GB2312" w:eastAsia="仿宋_GB2312"/>
          <w:color w:val="auto"/>
          <w:sz w:val="32"/>
          <w:szCs w:val="32"/>
          <w:highlight w:val="none"/>
          <w:lang w:eastAsia="zh-CN"/>
        </w:rPr>
        <w:t>。</w:t>
      </w:r>
    </w:p>
    <w:p>
      <w:pPr>
        <w:shd w:val="clear"/>
        <w:ind w:firstLine="709"/>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第三部分 名词解释</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一、财政拨款收入：是指市级财政当年拨付的资金。</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二、财政专户管理资金：是指缴入财政专户、实行专项管理的高中以上学费、住宿费、高校委托培训费、函大、电大、夜大及短期培训费等教育收费。</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三、事业收入：是指事业单位开展专业活动及辅助活动所取得的收入，不包括教育收费。</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四、事业单位经营收入：是指事业单位在专业业务活动及其辅助活动之外开展独立核算经营活动取得的收入。</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五、其他收入：是指单位取得的除“财政拨款”、“事业收入”、“事业单位经营收入”等以外的收入。</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七、基本支出：是指为保障机构正常运转、完成日常工作任务所必需的开支，其内容包括人员经费和日常公用经费两部分。</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八、项目支出：是指在基本支出之外，为完成特定的行政工作任务或事业发展目标所发生的支出。</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color w:val="auto"/>
          <w:sz w:val="32"/>
          <w:szCs w:val="32"/>
          <w:highlight w:val="none"/>
          <w:lang w:bidi="ar"/>
        </w:rPr>
        <w:t>差</w:t>
      </w:r>
      <w:r>
        <w:rPr>
          <w:rFonts w:hint="eastAsia" w:ascii="仿宋_GB2312" w:eastAsia="仿宋_GB2312"/>
          <w:color w:val="auto"/>
          <w:sz w:val="32"/>
          <w:szCs w:val="32"/>
          <w:highlight w:val="none"/>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十、</w:t>
      </w:r>
      <w:r>
        <w:rPr>
          <w:rFonts w:hint="eastAsia" w:ascii="仿宋_GB2312" w:eastAsia="仿宋_GB2312"/>
          <w:bCs/>
          <w:color w:val="auto"/>
          <w:sz w:val="32"/>
          <w:szCs w:val="32"/>
          <w:highlight w:val="none"/>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hd w:val="clear"/>
        <w:ind w:firstLine="709"/>
        <w:rPr>
          <w:rFonts w:ascii="仿宋_GB2312" w:eastAsia="仿宋_GB2312"/>
          <w:color w:val="auto"/>
          <w:sz w:val="32"/>
          <w:szCs w:val="32"/>
          <w:highlight w:val="none"/>
        </w:rPr>
      </w:pPr>
    </w:p>
    <w:p>
      <w:pPr>
        <w:shd w:val="clear"/>
        <w:ind w:firstLine="426"/>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附件：2021年度单位预算表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一、单位收支总体情况表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二、单位收入总体情况表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三、单位支出总体情况表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四、财政拨款收支总体情况表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五、一般公共预算支出情况表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六、一般公共预算基本支出情况表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七、一般公共预算“三公”经费支出情况表</w:t>
      </w:r>
    </w:p>
    <w:p>
      <w:pPr>
        <w:shd w:val="clear"/>
        <w:snapToGrid w:val="0"/>
        <w:ind w:firstLine="426"/>
        <w:rPr>
          <w:rFonts w:ascii="仿宋_GB2312" w:eastAsia="仿宋_GB2312" w:hAnsiTheme="majorEastAsia"/>
          <w:color w:val="auto"/>
          <w:sz w:val="32"/>
          <w:szCs w:val="32"/>
          <w:highlight w:val="none"/>
        </w:rPr>
      </w:pPr>
      <w:r>
        <w:rPr>
          <w:rFonts w:hint="eastAsia" w:ascii="仿宋_GB2312" w:eastAsia="仿宋_GB2312"/>
          <w:color w:val="auto"/>
          <w:sz w:val="32"/>
          <w:szCs w:val="32"/>
          <w:highlight w:val="none"/>
        </w:rPr>
        <w:t>八、政府性基金预算支出情况表</w:t>
      </w:r>
    </w:p>
    <w:p>
      <w:pPr>
        <w:shd w:val="clear"/>
        <w:snapToGrid w:val="0"/>
        <w:spacing w:line="360" w:lineRule="auto"/>
        <w:ind w:firstLine="425" w:firstLineChars="133"/>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九、支出经济分类汇总表</w:t>
      </w:r>
    </w:p>
    <w:p>
      <w:pPr>
        <w:shd w:val="clear"/>
        <w:ind w:firstLine="426"/>
        <w:rPr>
          <w:rFonts w:hint="default" w:ascii="仿宋_GB2312" w:eastAsia="仿宋_GB2312" w:hAnsiTheme="majorEastAsia"/>
          <w:color w:val="auto"/>
          <w:sz w:val="32"/>
          <w:szCs w:val="32"/>
          <w:highlight w:val="none"/>
        </w:rPr>
      </w:pPr>
      <w:r>
        <w:rPr>
          <w:rFonts w:hint="default" w:ascii="仿宋_GB2312" w:eastAsia="仿宋_GB2312" w:hAnsiTheme="majorEastAsia"/>
          <w:color w:val="auto"/>
          <w:sz w:val="32"/>
          <w:szCs w:val="32"/>
          <w:highlight w:val="none"/>
        </w:rPr>
        <w:object>
          <v:shape id="_x0000_i1026"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6" DrawAspect="Icon" ObjectID="_1468075725" r:id="rId5">
            <o:LockedField>false</o:LockedField>
          </o:OLEObject>
        </w:objec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D2B32"/>
    <w:rsid w:val="00F937EB"/>
    <w:rsid w:val="04C24CD3"/>
    <w:rsid w:val="057D022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E1C1FAB"/>
    <w:rsid w:val="205F1D02"/>
    <w:rsid w:val="20F53F6B"/>
    <w:rsid w:val="21172D08"/>
    <w:rsid w:val="25097E0B"/>
    <w:rsid w:val="2D780E48"/>
    <w:rsid w:val="3168305B"/>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3DF42CD"/>
    <w:rsid w:val="55BF499C"/>
    <w:rsid w:val="55CA7913"/>
    <w:rsid w:val="576B0713"/>
    <w:rsid w:val="58802D5A"/>
    <w:rsid w:val="59CD76D7"/>
    <w:rsid w:val="5A7054A3"/>
    <w:rsid w:val="5A9E72FD"/>
    <w:rsid w:val="5AB45193"/>
    <w:rsid w:val="5CA8687F"/>
    <w:rsid w:val="5D6525EB"/>
    <w:rsid w:val="60AF768B"/>
    <w:rsid w:val="60D15B65"/>
    <w:rsid w:val="60D3160D"/>
    <w:rsid w:val="62DE8E91"/>
    <w:rsid w:val="63B37500"/>
    <w:rsid w:val="67471495"/>
    <w:rsid w:val="6AA309C2"/>
    <w:rsid w:val="6B001859"/>
    <w:rsid w:val="6DD00BE6"/>
    <w:rsid w:val="6F920B9B"/>
    <w:rsid w:val="6F9B7A32"/>
    <w:rsid w:val="72356867"/>
    <w:rsid w:val="72CE3402"/>
    <w:rsid w:val="7701693E"/>
    <w:rsid w:val="78BD42BC"/>
    <w:rsid w:val="79D11516"/>
    <w:rsid w:val="7A0415DC"/>
    <w:rsid w:val="7B530E71"/>
    <w:rsid w:val="7CA378FF"/>
    <w:rsid w:val="7CAB2C00"/>
    <w:rsid w:val="7FED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452</Words>
  <Characters>2579</Characters>
  <Lines>21</Lines>
  <Paragraphs>6</Paragraphs>
  <TotalTime>5</TotalTime>
  <ScaleCrop>false</ScaleCrop>
  <LinksUpToDate>false</LinksUpToDate>
  <CharactersWithSpaces>3025</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2019-09-17T03:24:00Z</dcterms:created>
  <dc:creator>null,null,总收发</dc:creator>
  <cp:lastModifiedBy>小胖钰</cp:lastModifiedBy>
  <cp:lastPrinted>2022-05-19T02:02:00Z</cp:lastPrinted>
  <dcterms:modified xsi:type="dcterms:W3CDTF">2022-09-01T11:48:39Z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7004804C23B2C423AB650B63807FEFEC</vt:lpwstr>
  </property>
</Properties>
</file>