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b/>
          <w:sz w:val="28"/>
          <w:szCs w:val="32"/>
        </w:rPr>
      </w:pPr>
      <w:r>
        <w:rPr>
          <w:rFonts w:hint="eastAsia" w:ascii="仿宋_GB2312" w:hAnsi="仿宋_GB2312" w:eastAsia="仿宋_GB2312" w:cs="仿宋_GB2312"/>
          <w:b/>
          <w:bCs/>
          <w:w w:val="90"/>
          <w:sz w:val="44"/>
          <w:szCs w:val="32"/>
        </w:rPr>
        <w:t>邓州市2021年</w:t>
      </w:r>
      <w:r>
        <w:rPr>
          <w:rFonts w:hint="eastAsia" w:ascii="仿宋_GB2312" w:hAnsi="仿宋_GB2312" w:eastAsia="仿宋_GB2312" w:cs="仿宋_GB2312"/>
          <w:b/>
          <w:bCs/>
          <w:w w:val="90"/>
          <w:sz w:val="44"/>
          <w:szCs w:val="32"/>
          <w:lang w:eastAsia="zh-CN"/>
        </w:rPr>
        <w:t>民政局</w:t>
      </w:r>
      <w:r>
        <w:rPr>
          <w:rFonts w:hint="eastAsia" w:ascii="仿宋_GB2312" w:hAnsi="仿宋_GB2312" w:eastAsia="仿宋_GB2312" w:cs="仿宋_GB2312"/>
          <w:b/>
          <w:bCs/>
          <w:w w:val="90"/>
          <w:sz w:val="44"/>
          <w:szCs w:val="32"/>
        </w:rPr>
        <w:t>单位预算基本情况说明</w:t>
      </w:r>
    </w:p>
    <w:p>
      <w:pPr>
        <w:jc w:val="center"/>
        <w:rPr>
          <w:rFonts w:hint="eastAsia" w:ascii="仿宋_GB2312" w:hAnsi="仿宋_GB2312" w:eastAsia="仿宋_GB2312" w:cs="仿宋_GB2312"/>
          <w:b/>
          <w:bCs/>
          <w:sz w:val="36"/>
          <w:szCs w:val="32"/>
        </w:rPr>
      </w:pPr>
      <w:r>
        <w:rPr>
          <w:rFonts w:hint="eastAsia" w:ascii="仿宋_GB2312" w:hAnsi="仿宋_GB2312" w:eastAsia="仿宋_GB2312" w:cs="仿宋_GB2312"/>
          <w:b/>
          <w:bCs/>
          <w:sz w:val="36"/>
          <w:szCs w:val="32"/>
        </w:rPr>
        <w:t>目  录</w:t>
      </w:r>
    </w:p>
    <w:p>
      <w:pPr>
        <w:jc w:val="left"/>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第一部分  邓州市民政局概况</w:t>
      </w:r>
    </w:p>
    <w:p>
      <w:pPr>
        <w:pStyle w:val="8"/>
        <w:numPr>
          <w:ilvl w:val="0"/>
          <w:numId w:val="1"/>
        </w:num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主要职责</w:t>
      </w:r>
    </w:p>
    <w:p>
      <w:pPr>
        <w:pStyle w:val="8"/>
        <w:numPr>
          <w:ilvl w:val="0"/>
          <w:numId w:val="1"/>
        </w:num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预算单位构成情况</w:t>
      </w:r>
    </w:p>
    <w:p>
      <w:pPr>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第二部分 邓州市</w:t>
      </w:r>
      <w:r>
        <w:rPr>
          <w:rFonts w:hint="eastAsia" w:ascii="仿宋_GB2312" w:hAnsi="仿宋_GB2312" w:eastAsia="仿宋_GB2312" w:cs="仿宋_GB2312"/>
          <w:b/>
          <w:bCs/>
          <w:sz w:val="32"/>
          <w:szCs w:val="32"/>
          <w:lang w:eastAsia="zh-CN"/>
        </w:rPr>
        <w:t>民政局</w:t>
      </w:r>
      <w:r>
        <w:rPr>
          <w:rFonts w:hint="eastAsia" w:ascii="仿宋_GB2312" w:hAnsi="仿宋_GB2312" w:eastAsia="仿宋_GB2312" w:cs="仿宋_GB2312"/>
          <w:b/>
          <w:bCs/>
          <w:sz w:val="32"/>
          <w:szCs w:val="32"/>
        </w:rPr>
        <w:t>2021年单位预算情况说明</w:t>
      </w:r>
    </w:p>
    <w:p>
      <w:pPr>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第三部分 名词解释</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附件：2021年度单位预算表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一、单位收支总体情况表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二、单位收入总体情况表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三、单位支出总体情况表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四、财政拨款收支总体情况表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五、一般公共预算支出情况表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六、一般公共预算基本支出情况表</w:t>
      </w:r>
    </w:p>
    <w:p>
      <w:pPr>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七、一般公共预算“三公”经费支出情况表</w:t>
      </w:r>
    </w:p>
    <w:p>
      <w:pPr>
        <w:snapToGrid w:val="0"/>
        <w:spacing w:line="360" w:lineRule="auto"/>
        <w:ind w:firstLine="425" w:firstLineChars="133"/>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八、政府性基金预算支出情况表</w:t>
      </w:r>
    </w:p>
    <w:p>
      <w:pPr>
        <w:snapToGrid w:val="0"/>
        <w:spacing w:line="360" w:lineRule="auto"/>
        <w:ind w:firstLine="425" w:firstLineChars="13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九、支出经济分类汇总表</w:t>
      </w:r>
    </w:p>
    <w:p>
      <w:pPr>
        <w:snapToGrid w:val="0"/>
        <w:spacing w:line="360" w:lineRule="auto"/>
        <w:ind w:firstLine="372" w:firstLineChars="133"/>
        <w:rPr>
          <w:rFonts w:hint="eastAsia" w:ascii="仿宋_GB2312" w:hAnsi="仿宋_GB2312" w:eastAsia="仿宋_GB2312" w:cs="仿宋_GB2312"/>
          <w:sz w:val="28"/>
          <w:szCs w:val="28"/>
        </w:rPr>
      </w:pP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br w:type="page"/>
      </w:r>
      <w:r>
        <w:rPr>
          <w:rFonts w:hint="eastAsia" w:ascii="仿宋_GB2312" w:hAnsi="仿宋_GB2312" w:eastAsia="仿宋_GB2312" w:cs="仿宋_GB2312"/>
          <w:b/>
          <w:bCs/>
          <w:sz w:val="32"/>
          <w:szCs w:val="32"/>
        </w:rPr>
        <w:t>第一部分</w:t>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邓州市</w:t>
      </w:r>
      <w:r>
        <w:rPr>
          <w:rFonts w:hint="eastAsia" w:ascii="仿宋_GB2312" w:hAnsi="仿宋_GB2312" w:eastAsia="仿宋_GB2312" w:cs="仿宋_GB2312"/>
          <w:b/>
          <w:bCs/>
          <w:sz w:val="32"/>
          <w:szCs w:val="32"/>
          <w:lang w:eastAsia="zh-CN"/>
        </w:rPr>
        <w:t>民政局</w:t>
      </w:r>
      <w:r>
        <w:rPr>
          <w:rFonts w:hint="eastAsia" w:ascii="仿宋_GB2312" w:hAnsi="仿宋_GB2312" w:eastAsia="仿宋_GB2312" w:cs="仿宋_GB2312"/>
          <w:b/>
          <w:bCs/>
          <w:sz w:val="32"/>
          <w:szCs w:val="32"/>
        </w:rPr>
        <w:t>概况</w:t>
      </w:r>
    </w:p>
    <w:p>
      <w:pPr>
        <w:ind w:left="0" w:leftChars="0" w:firstLine="842" w:firstLineChars="262"/>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一、主要职责</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（一）贯彻执行民政事业发展的法律、法规和政策、规划，拟订全市民政事业发展规划和标准并组织实施。</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（二）拟订全市社会团体、基金会、社会服务机构等社会组织登记和监督管理办法并组织实施，依法对社会组织进行登记管理和执法监督。</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（三）拟订全市社会救助政策性措施、标准， 统筹社会救助体系建设，负责城乡居民最低生活保障、特困人员救助供养、临时救助、生活无着流浪乞讨人员救助工作。</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（四）指导低收入家庭经济状况信息核对工作。</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（五）拟订全市城乡基层群众自治建设和社区治理政策性措施，指导城乡社区治理体系和治理能力建设，提出加强和改进城乡基层政权建设的建议，推动基层民主政治建设。</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贯彻落实行政区划管理政策和行政区域界限管理、地名管理办法并组织实施，负责全市乡镇（街道办事处）行政区域设立、撤销、更名、界线变更及政府驻地迁移的审核报批工作，负责全市重要自然地理实体命名及更名的审核报批工作，负责全市地名标志的管理工作，负责全市行政区域界线的勘定和管理工作。</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（七）贯彻落实婚姻管理政策，推进婚俗改革。</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（八）贯彻落实殡葬管理政策和服务规范，推进殡葬改革。</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（九）贯彻落实残疾人权益保护政策，统筹推进残疾人 福利制度建设和康复辅助器具产业发展。</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（十）统筹推进、督促指导、监督管理养老服务工作，拟订全市养老服务体系建设规划和标准并组织实施，承担老年人福利和特殊困难老年人救助工作。</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（十一）拟订全市儿童福利、孤弃儿童保障、儿童收养、儿童救助保护政策性措施和标准并组织实施，健全农村留守儿童关爱服务体系和困境儿童保障制度。</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（十二）贯彻落实促进慈善事业发展政策，组织指导社会捐助工作，负责全市福利彩票发行管理工作。</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（十三）拟订全市社会工作、志愿服务政策性措施和标准，会同有关</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推进社会工作人才队伍建设和志愿者队伍建设。</w:t>
      </w:r>
    </w:p>
    <w:p>
      <w:pPr>
        <w:pStyle w:val="2"/>
        <w:widowControl w:val="0"/>
        <w:numPr>
          <w:ilvl w:val="0"/>
          <w:numId w:val="0"/>
        </w:numPr>
        <w:wordWrap/>
        <w:autoSpaceDE w:val="0"/>
        <w:autoSpaceDN w:val="0"/>
        <w:adjustRightInd/>
        <w:snapToGrid/>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（十四）会同市自然资源和规划局组织编制公布行政区划信息的邓州市行政区划图。</w:t>
      </w:r>
    </w:p>
    <w:p>
      <w:pPr>
        <w:pStyle w:val="2"/>
        <w:widowControl w:val="0"/>
        <w:numPr>
          <w:ilvl w:val="0"/>
          <w:numId w:val="0"/>
        </w:numPr>
        <w:wordWrap/>
        <w:autoSpaceDE w:val="0"/>
        <w:autoSpaceDN w:val="0"/>
        <w:adjustRightInd w:val="0"/>
        <w:snapToGrid w:val="0"/>
        <w:spacing w:line="360" w:lineRule="auto"/>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（十五）完成市委、市政府交办的其他任务。</w:t>
      </w:r>
    </w:p>
    <w:p>
      <w:pPr>
        <w:ind w:firstLine="569" w:firstLineChars="177"/>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二、单位预算构成情况</w:t>
      </w:r>
    </w:p>
    <w:p>
      <w:pPr>
        <w:ind w:firstLine="566" w:firstLineChars="17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邓州市</w:t>
      </w:r>
      <w:r>
        <w:rPr>
          <w:rFonts w:hint="eastAsia" w:ascii="仿宋_GB2312" w:hAnsi="仿宋_GB2312" w:eastAsia="仿宋_GB2312" w:cs="仿宋_GB2312"/>
          <w:sz w:val="32"/>
          <w:szCs w:val="32"/>
          <w:lang w:eastAsia="zh-CN"/>
        </w:rPr>
        <w:t>民政</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预算包括</w:t>
      </w:r>
      <w:r>
        <w:rPr>
          <w:rFonts w:hint="eastAsia" w:ascii="仿宋_GB2312" w:hAnsi="仿宋_GB2312" w:eastAsia="仿宋_GB2312" w:cs="仿宋_GB2312"/>
          <w:sz w:val="32"/>
          <w:szCs w:val="32"/>
          <w:lang w:eastAsia="zh-CN"/>
        </w:rPr>
        <w:t>基层政权建设和社区治理科、社会组织管理科、社会救助科、养老服务科、区划地名科、低保中心、社会事务科的</w:t>
      </w:r>
      <w:r>
        <w:rPr>
          <w:rFonts w:hint="eastAsia" w:ascii="仿宋_GB2312" w:hAnsi="仿宋_GB2312" w:eastAsia="仿宋_GB2312" w:cs="仿宋_GB2312"/>
          <w:sz w:val="32"/>
          <w:szCs w:val="32"/>
        </w:rPr>
        <w:t>预算。</w:t>
      </w:r>
    </w:p>
    <w:p>
      <w:pPr>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第二部分</w:t>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邓州市</w:t>
      </w:r>
      <w:r>
        <w:rPr>
          <w:rFonts w:hint="eastAsia" w:ascii="仿宋_GB2312" w:hAnsi="仿宋_GB2312" w:eastAsia="仿宋_GB2312" w:cs="仿宋_GB2312"/>
          <w:b/>
          <w:bCs/>
          <w:sz w:val="32"/>
          <w:szCs w:val="32"/>
          <w:lang w:eastAsia="zh-CN"/>
        </w:rPr>
        <w:t>民政局</w:t>
      </w:r>
      <w:r>
        <w:rPr>
          <w:rFonts w:hint="eastAsia" w:ascii="仿宋_GB2312" w:hAnsi="仿宋_GB2312" w:eastAsia="仿宋_GB2312" w:cs="仿宋_GB2312"/>
          <w:b/>
          <w:bCs/>
          <w:sz w:val="32"/>
          <w:szCs w:val="32"/>
        </w:rPr>
        <w:t>2021年单位预算情况说明</w:t>
      </w:r>
    </w:p>
    <w:p>
      <w:pPr>
        <w:spacing w:beforeLines="100"/>
        <w:ind w:firstLine="70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一、收入支出预算总体情况说明</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年收入总计</w:t>
      </w:r>
      <w:r>
        <w:rPr>
          <w:rFonts w:hint="eastAsia" w:ascii="仿宋_GB2312" w:hAnsi="仿宋_GB2312" w:eastAsia="仿宋_GB2312" w:cs="仿宋_GB2312"/>
          <w:sz w:val="32"/>
          <w:szCs w:val="32"/>
          <w:lang w:val="en-US" w:eastAsia="zh-CN"/>
        </w:rPr>
        <w:t>22763.52</w:t>
      </w:r>
      <w:r>
        <w:rPr>
          <w:rFonts w:hint="eastAsia" w:ascii="仿宋_GB2312" w:hAnsi="仿宋_GB2312" w:eastAsia="仿宋_GB2312" w:cs="仿宋_GB2312"/>
          <w:sz w:val="32"/>
          <w:szCs w:val="32"/>
        </w:rPr>
        <w:t>万元，支出总计</w:t>
      </w:r>
      <w:r>
        <w:rPr>
          <w:rFonts w:hint="eastAsia" w:ascii="仿宋_GB2312" w:hAnsi="仿宋_GB2312" w:eastAsia="仿宋_GB2312" w:cs="仿宋_GB2312"/>
          <w:sz w:val="32"/>
          <w:szCs w:val="32"/>
          <w:lang w:val="en-US" w:eastAsia="zh-CN"/>
        </w:rPr>
        <w:t>22763.52</w:t>
      </w:r>
      <w:r>
        <w:rPr>
          <w:rFonts w:hint="eastAsia" w:ascii="仿宋_GB2312" w:hAnsi="仿宋_GB2312" w:eastAsia="仿宋_GB2312" w:cs="仿宋_GB2312"/>
          <w:sz w:val="32"/>
          <w:szCs w:val="32"/>
        </w:rPr>
        <w:t xml:space="preserve">  万元，与</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年相比，收入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增长</w:t>
      </w:r>
      <w:r>
        <w:rPr>
          <w:rFonts w:hint="eastAsia" w:ascii="仿宋_GB2312" w:hAnsi="仿宋_GB2312" w:eastAsia="仿宋_GB2312" w:cs="仿宋_GB2312"/>
          <w:sz w:val="32"/>
          <w:szCs w:val="32"/>
          <w:lang w:val="en-US" w:eastAsia="zh-CN"/>
        </w:rPr>
        <w:t>3689.22</w:t>
      </w:r>
      <w:r>
        <w:rPr>
          <w:rFonts w:hint="eastAsia" w:ascii="仿宋_GB2312" w:hAnsi="仿宋_GB2312" w:eastAsia="仿宋_GB2312" w:cs="仿宋_GB2312"/>
          <w:sz w:val="32"/>
          <w:szCs w:val="32"/>
        </w:rPr>
        <w:t>万元。主要原因是：</w:t>
      </w:r>
      <w:r>
        <w:rPr>
          <w:rFonts w:hint="eastAsia" w:ascii="仿宋_GB2312" w:hAnsi="仿宋_GB2312" w:eastAsia="仿宋_GB2312" w:cs="仿宋_GB2312"/>
          <w:b w:val="0"/>
          <w:bCs w:val="0"/>
          <w:sz w:val="32"/>
          <w:szCs w:val="32"/>
          <w:lang w:eastAsia="zh-CN"/>
        </w:rPr>
        <w:t>民政保障对象增加以及保障标准提高，相应收入支出增加</w:t>
      </w:r>
      <w:r>
        <w:rPr>
          <w:rFonts w:hint="eastAsia" w:ascii="仿宋_GB2312" w:hAnsi="仿宋_GB2312" w:eastAsia="仿宋_GB2312" w:cs="仿宋_GB2312"/>
          <w:sz w:val="32"/>
          <w:szCs w:val="32"/>
        </w:rPr>
        <w:t>。</w:t>
      </w:r>
    </w:p>
    <w:p>
      <w:pPr>
        <w:ind w:firstLine="567"/>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二、收入预算总体情况说明</w:t>
      </w:r>
    </w:p>
    <w:p>
      <w:pPr>
        <w:ind w:firstLine="707" w:firstLineChars="22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年收入预算</w:t>
      </w:r>
      <w:r>
        <w:rPr>
          <w:rFonts w:hint="eastAsia" w:ascii="仿宋_GB2312" w:hAnsi="仿宋_GB2312" w:eastAsia="仿宋_GB2312" w:cs="仿宋_GB2312"/>
          <w:sz w:val="32"/>
          <w:szCs w:val="32"/>
          <w:lang w:val="en-US" w:eastAsia="zh-CN"/>
        </w:rPr>
        <w:t>22763.52</w:t>
      </w:r>
      <w:r>
        <w:rPr>
          <w:rFonts w:hint="eastAsia" w:ascii="仿宋_GB2312" w:hAnsi="仿宋_GB2312" w:eastAsia="仿宋_GB2312" w:cs="仿宋_GB2312"/>
          <w:sz w:val="32"/>
          <w:szCs w:val="32"/>
        </w:rPr>
        <w:t>万元，其中：一般公共预算收入</w:t>
      </w:r>
      <w:r>
        <w:rPr>
          <w:rFonts w:hint="eastAsia" w:ascii="仿宋_GB2312" w:hAnsi="仿宋_GB2312" w:eastAsia="仿宋_GB2312" w:cs="仿宋_GB2312"/>
          <w:sz w:val="32"/>
          <w:szCs w:val="32"/>
          <w:lang w:val="en-US" w:eastAsia="zh-CN"/>
        </w:rPr>
        <w:t>22363.52</w:t>
      </w:r>
      <w:r>
        <w:rPr>
          <w:rFonts w:hint="eastAsia" w:ascii="仿宋_GB2312" w:hAnsi="仿宋_GB2312" w:eastAsia="仿宋_GB2312" w:cs="仿宋_GB2312"/>
          <w:sz w:val="32"/>
          <w:szCs w:val="32"/>
        </w:rPr>
        <w:t xml:space="preserve">万元，政府性基金收入 </w:t>
      </w:r>
      <w:r>
        <w:rPr>
          <w:rFonts w:hint="eastAsia" w:ascii="仿宋_GB2312" w:hAnsi="仿宋_GB2312" w:eastAsia="仿宋_GB2312" w:cs="仿宋_GB2312"/>
          <w:sz w:val="32"/>
          <w:szCs w:val="32"/>
          <w:lang w:val="en-US" w:eastAsia="zh-CN"/>
        </w:rPr>
        <w:t>400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，国有资本经营预算收入</w:t>
      </w:r>
      <w:r>
        <w:rPr>
          <w:rFonts w:hint="eastAsia" w:ascii="仿宋_GB2312" w:hAnsi="仿宋_GB2312" w:eastAsia="仿宋_GB2312" w:cs="仿宋_GB2312"/>
          <w:sz w:val="32"/>
          <w:szCs w:val="32"/>
          <w:lang w:val="en-US" w:eastAsia="zh-CN"/>
        </w:rPr>
        <w:t>0万元</w:t>
      </w:r>
      <w:r>
        <w:rPr>
          <w:rFonts w:hint="eastAsia" w:ascii="仿宋_GB2312" w:hAnsi="仿宋_GB2312" w:eastAsia="仿宋_GB2312" w:cs="仿宋_GB2312"/>
          <w:sz w:val="32"/>
          <w:szCs w:val="32"/>
          <w:lang w:eastAsia="zh-CN"/>
        </w:rPr>
        <w:t>，财政专户管理资金收入</w:t>
      </w:r>
      <w:r>
        <w:rPr>
          <w:rFonts w:hint="eastAsia" w:ascii="仿宋_GB2312" w:hAnsi="仿宋_GB2312" w:eastAsia="仿宋_GB2312" w:cs="仿宋_GB2312"/>
          <w:sz w:val="32"/>
          <w:szCs w:val="32"/>
          <w:lang w:val="en-US" w:eastAsia="zh-CN"/>
        </w:rPr>
        <w:t>0万元。</w:t>
      </w:r>
    </w:p>
    <w:p>
      <w:pPr>
        <w:ind w:firstLine="70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三、支出预算总体情况说明</w:t>
      </w:r>
    </w:p>
    <w:p>
      <w:pPr>
        <w:ind w:firstLine="70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年支出预</w:t>
      </w:r>
      <w:r>
        <w:rPr>
          <w:rFonts w:hint="eastAsia" w:ascii="仿宋_GB2312" w:hAnsi="仿宋_GB2312" w:eastAsia="仿宋_GB2312" w:cs="仿宋_GB2312"/>
          <w:sz w:val="32"/>
          <w:szCs w:val="32"/>
          <w:lang w:eastAsia="zh-CN"/>
        </w:rPr>
        <w:t>算</w:t>
      </w:r>
      <w:r>
        <w:rPr>
          <w:rFonts w:hint="eastAsia" w:ascii="仿宋_GB2312" w:hAnsi="仿宋_GB2312" w:eastAsia="仿宋_GB2312" w:cs="仿宋_GB2312"/>
          <w:sz w:val="32"/>
          <w:szCs w:val="32"/>
          <w:lang w:val="en-US" w:eastAsia="zh-CN"/>
        </w:rPr>
        <w:t>22763.52</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 xml:space="preserve">：基本支出   </w:t>
      </w:r>
      <w:r>
        <w:rPr>
          <w:rFonts w:hint="eastAsia" w:ascii="仿宋_GB2312" w:hAnsi="仿宋_GB2312" w:eastAsia="仿宋_GB2312" w:cs="仿宋_GB2312"/>
          <w:sz w:val="32"/>
          <w:szCs w:val="32"/>
          <w:lang w:val="en-US" w:eastAsia="zh-CN"/>
        </w:rPr>
        <w:t>498.6</w:t>
      </w:r>
      <w:r>
        <w:rPr>
          <w:rFonts w:hint="eastAsia" w:ascii="仿宋_GB2312" w:hAnsi="仿宋_GB2312" w:eastAsia="仿宋_GB2312" w:cs="仿宋_GB2312"/>
          <w:sz w:val="32"/>
          <w:szCs w:val="32"/>
        </w:rPr>
        <w:t>万元，占年度计划的</w:t>
      </w:r>
      <w:r>
        <w:rPr>
          <w:rFonts w:hint="eastAsia" w:ascii="仿宋_GB2312" w:hAnsi="仿宋_GB2312" w:eastAsia="仿宋_GB2312" w:cs="仿宋_GB2312"/>
          <w:sz w:val="32"/>
          <w:szCs w:val="32"/>
          <w:lang w:val="en-US" w:eastAsia="zh-CN"/>
        </w:rPr>
        <w:t>2.19</w:t>
      </w: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 xml:space="preserve">22264.92 </w:t>
      </w:r>
      <w:r>
        <w:rPr>
          <w:rFonts w:hint="eastAsia" w:ascii="仿宋_GB2312" w:hAnsi="仿宋_GB2312" w:eastAsia="仿宋_GB2312" w:cs="仿宋_GB2312"/>
          <w:sz w:val="32"/>
          <w:szCs w:val="32"/>
        </w:rPr>
        <w:t>万元，占年度计划的</w:t>
      </w:r>
      <w:r>
        <w:rPr>
          <w:rFonts w:hint="eastAsia" w:ascii="仿宋_GB2312" w:hAnsi="仿宋_GB2312" w:eastAsia="仿宋_GB2312" w:cs="仿宋_GB2312"/>
          <w:sz w:val="32"/>
          <w:szCs w:val="32"/>
          <w:lang w:val="en-US" w:eastAsia="zh-CN"/>
        </w:rPr>
        <w:t>97.81</w:t>
      </w:r>
      <w:r>
        <w:rPr>
          <w:rFonts w:hint="eastAsia" w:ascii="仿宋_GB2312" w:hAnsi="仿宋_GB2312" w:eastAsia="仿宋_GB2312" w:cs="仿宋_GB2312"/>
          <w:sz w:val="32"/>
          <w:szCs w:val="32"/>
        </w:rPr>
        <w:t>%。</w:t>
      </w:r>
    </w:p>
    <w:p>
      <w:pPr>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四、财政拨款收支预算总体情况说明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一般公共预算</w:t>
      </w:r>
      <w:r>
        <w:rPr>
          <w:rFonts w:hint="eastAsia" w:ascii="仿宋_GB2312" w:hAnsi="仿宋_GB2312" w:eastAsia="仿宋_GB2312" w:cs="仿宋_GB2312"/>
          <w:sz w:val="32"/>
          <w:szCs w:val="32"/>
        </w:rPr>
        <w:t>收</w:t>
      </w:r>
      <w:r>
        <w:rPr>
          <w:rFonts w:hint="eastAsia" w:ascii="仿宋_GB2312" w:hAnsi="仿宋_GB2312" w:eastAsia="仿宋_GB2312" w:cs="仿宋_GB2312"/>
          <w:sz w:val="32"/>
          <w:szCs w:val="32"/>
          <w:lang w:eastAsia="zh-CN"/>
        </w:rPr>
        <w:t>支预算</w:t>
      </w:r>
      <w:r>
        <w:rPr>
          <w:rFonts w:hint="eastAsia" w:ascii="仿宋_GB2312" w:hAnsi="仿宋_GB2312" w:eastAsia="仿宋_GB2312" w:cs="仿宋_GB2312"/>
          <w:sz w:val="32"/>
          <w:szCs w:val="32"/>
          <w:lang w:val="en-US" w:eastAsia="zh-CN"/>
        </w:rPr>
        <w:t>22363.52</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政府性基金</w:t>
      </w:r>
      <w:r>
        <w:rPr>
          <w:rFonts w:hint="eastAsia" w:ascii="仿宋_GB2312" w:hAnsi="仿宋_GB2312" w:eastAsia="仿宋_GB2312" w:cs="仿宋_GB2312"/>
          <w:sz w:val="32"/>
          <w:szCs w:val="32"/>
        </w:rPr>
        <w:t>收</w:t>
      </w:r>
      <w:r>
        <w:rPr>
          <w:rFonts w:hint="eastAsia" w:ascii="仿宋_GB2312" w:hAnsi="仿宋_GB2312" w:eastAsia="仿宋_GB2312" w:cs="仿宋_GB2312"/>
          <w:sz w:val="32"/>
          <w:szCs w:val="32"/>
          <w:lang w:eastAsia="zh-CN"/>
        </w:rPr>
        <w:t>支预算</w:t>
      </w:r>
      <w:r>
        <w:rPr>
          <w:rFonts w:hint="eastAsia" w:ascii="仿宋_GB2312" w:hAnsi="仿宋_GB2312" w:eastAsia="仿宋_GB2312" w:cs="仿宋_GB2312"/>
          <w:sz w:val="32"/>
          <w:szCs w:val="32"/>
          <w:lang w:val="en-US" w:eastAsia="zh-CN"/>
        </w:rPr>
        <w:t>400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，国有资本经营</w:t>
      </w:r>
      <w:r>
        <w:rPr>
          <w:rFonts w:hint="eastAsia" w:ascii="仿宋_GB2312" w:hAnsi="仿宋_GB2312" w:eastAsia="仿宋_GB2312" w:cs="仿宋_GB2312"/>
          <w:sz w:val="32"/>
          <w:szCs w:val="32"/>
        </w:rPr>
        <w:t>收</w:t>
      </w:r>
      <w:r>
        <w:rPr>
          <w:rFonts w:hint="eastAsia" w:ascii="仿宋_GB2312" w:hAnsi="仿宋_GB2312" w:eastAsia="仿宋_GB2312" w:cs="仿宋_GB2312"/>
          <w:sz w:val="32"/>
          <w:szCs w:val="32"/>
          <w:lang w:eastAsia="zh-CN"/>
        </w:rPr>
        <w:t>支预算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年相比，收入支出</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3289.22</w:t>
      </w:r>
      <w:r>
        <w:rPr>
          <w:rFonts w:hint="eastAsia" w:ascii="仿宋_GB2312" w:hAnsi="仿宋_GB2312" w:eastAsia="仿宋_GB2312" w:cs="仿宋_GB2312"/>
          <w:sz w:val="32"/>
          <w:szCs w:val="32"/>
        </w:rPr>
        <w:t>万元。主要原因是：</w:t>
      </w:r>
      <w:r>
        <w:rPr>
          <w:rFonts w:hint="eastAsia" w:ascii="仿宋_GB2312" w:hAnsi="仿宋_GB2312" w:eastAsia="仿宋_GB2312" w:cs="仿宋_GB2312"/>
          <w:b w:val="0"/>
          <w:bCs w:val="0"/>
          <w:sz w:val="32"/>
          <w:szCs w:val="32"/>
          <w:lang w:eastAsia="zh-CN"/>
        </w:rPr>
        <w:t>民政保障对象增加以及保障标准提高，相应收入支出增加</w:t>
      </w:r>
      <w:r>
        <w:rPr>
          <w:rFonts w:hint="eastAsia" w:ascii="仿宋_GB2312" w:hAnsi="仿宋_GB2312" w:eastAsia="仿宋_GB2312" w:cs="仿宋_GB2312"/>
          <w:sz w:val="32"/>
          <w:szCs w:val="32"/>
        </w:rPr>
        <w:t>。</w:t>
      </w:r>
    </w:p>
    <w:p>
      <w:pPr>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五、一般公共预算支出预算情况说明</w:t>
      </w:r>
    </w:p>
    <w:p>
      <w:pPr>
        <w:ind w:firstLine="70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年支出预</w:t>
      </w:r>
      <w:r>
        <w:rPr>
          <w:rFonts w:hint="eastAsia" w:ascii="仿宋_GB2312" w:hAnsi="仿宋_GB2312" w:eastAsia="仿宋_GB2312" w:cs="仿宋_GB2312"/>
          <w:sz w:val="32"/>
          <w:szCs w:val="32"/>
          <w:lang w:eastAsia="zh-CN"/>
        </w:rPr>
        <w:t>算</w:t>
      </w:r>
      <w:r>
        <w:rPr>
          <w:rFonts w:hint="eastAsia" w:ascii="仿宋_GB2312" w:hAnsi="仿宋_GB2312" w:eastAsia="仿宋_GB2312" w:cs="仿宋_GB2312"/>
          <w:sz w:val="32"/>
          <w:szCs w:val="32"/>
          <w:lang w:val="en-US" w:eastAsia="zh-CN"/>
        </w:rPr>
        <w:t>6979.52</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：基本支出</w:t>
      </w:r>
      <w:r>
        <w:rPr>
          <w:rFonts w:hint="eastAsia" w:ascii="仿宋_GB2312" w:hAnsi="仿宋_GB2312" w:eastAsia="仿宋_GB2312" w:cs="仿宋_GB2312"/>
          <w:sz w:val="32"/>
          <w:szCs w:val="32"/>
          <w:lang w:val="en-US" w:eastAsia="zh-CN"/>
        </w:rPr>
        <w:t>498.6</w:t>
      </w:r>
      <w:r>
        <w:rPr>
          <w:rFonts w:hint="eastAsia" w:ascii="仿宋_GB2312" w:hAnsi="仿宋_GB2312" w:eastAsia="仿宋_GB2312" w:cs="仿宋_GB2312"/>
          <w:sz w:val="32"/>
          <w:szCs w:val="32"/>
        </w:rPr>
        <w:t>万元，占年度计划的</w:t>
      </w:r>
      <w:r>
        <w:rPr>
          <w:rFonts w:hint="eastAsia" w:ascii="仿宋_GB2312" w:hAnsi="仿宋_GB2312" w:eastAsia="仿宋_GB2312" w:cs="仿宋_GB2312"/>
          <w:sz w:val="32"/>
          <w:szCs w:val="32"/>
          <w:lang w:val="en-US" w:eastAsia="zh-CN"/>
        </w:rPr>
        <w:t>7.14</w:t>
      </w: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6480.92</w:t>
      </w:r>
      <w:r>
        <w:rPr>
          <w:rFonts w:hint="eastAsia" w:ascii="仿宋_GB2312" w:hAnsi="仿宋_GB2312" w:eastAsia="仿宋_GB2312" w:cs="仿宋_GB2312"/>
          <w:sz w:val="32"/>
          <w:szCs w:val="32"/>
        </w:rPr>
        <w:t>万元，占年度计划的</w:t>
      </w:r>
      <w:r>
        <w:rPr>
          <w:rFonts w:hint="eastAsia" w:ascii="仿宋_GB2312" w:hAnsi="仿宋_GB2312" w:eastAsia="仿宋_GB2312" w:cs="仿宋_GB2312"/>
          <w:sz w:val="32"/>
          <w:szCs w:val="32"/>
          <w:lang w:val="en-US" w:eastAsia="zh-CN"/>
        </w:rPr>
        <w:t>92.86</w:t>
      </w:r>
      <w:r>
        <w:rPr>
          <w:rFonts w:hint="eastAsia" w:ascii="仿宋_GB2312" w:hAnsi="仿宋_GB2312" w:eastAsia="仿宋_GB2312" w:cs="仿宋_GB2312"/>
          <w:sz w:val="32"/>
          <w:szCs w:val="32"/>
        </w:rPr>
        <w:t>%。</w:t>
      </w:r>
    </w:p>
    <w:p>
      <w:pPr>
        <w:numPr>
          <w:ilvl w:val="0"/>
          <w:numId w:val="2"/>
        </w:numPr>
        <w:ind w:firstLine="70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一般公共预算基本支出预算情况说明</w:t>
      </w:r>
    </w:p>
    <w:p>
      <w:pPr>
        <w:ind w:firstLine="70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年一般公共预算</w:t>
      </w:r>
      <w:r>
        <w:rPr>
          <w:rFonts w:hint="eastAsia" w:ascii="仿宋_GB2312" w:hAnsi="仿宋_GB2312" w:eastAsia="仿宋_GB2312" w:cs="仿宋_GB2312"/>
          <w:sz w:val="32"/>
          <w:szCs w:val="32"/>
          <w:lang w:eastAsia="zh-CN"/>
        </w:rPr>
        <w:t>基本支出</w:t>
      </w:r>
      <w:r>
        <w:rPr>
          <w:rFonts w:hint="eastAsia" w:ascii="仿宋_GB2312" w:hAnsi="仿宋_GB2312" w:eastAsia="仿宋_GB2312" w:cs="仿宋_GB2312"/>
          <w:sz w:val="32"/>
          <w:szCs w:val="32"/>
        </w:rPr>
        <w:t>年初预算为</w:t>
      </w:r>
      <w:r>
        <w:rPr>
          <w:rFonts w:hint="eastAsia" w:ascii="仿宋_GB2312" w:hAnsi="仿宋_GB2312" w:eastAsia="仿宋_GB2312" w:cs="仿宋_GB2312"/>
          <w:sz w:val="32"/>
          <w:szCs w:val="32"/>
          <w:lang w:val="en-US" w:eastAsia="zh-CN"/>
        </w:rPr>
        <w:t>498.6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人员经费支出</w:t>
      </w:r>
      <w:r>
        <w:rPr>
          <w:rFonts w:hint="eastAsia" w:ascii="仿宋_GB2312" w:hAnsi="仿宋_GB2312" w:eastAsia="仿宋_GB2312" w:cs="仿宋_GB2312"/>
          <w:sz w:val="32"/>
          <w:szCs w:val="32"/>
          <w:lang w:val="en-US" w:eastAsia="zh-CN"/>
        </w:rPr>
        <w:t>450.28万元，占90.31 %；公用经费支出48.32万元，占9.69%。</w:t>
      </w:r>
    </w:p>
    <w:p>
      <w:pPr>
        <w:spacing w:line="600" w:lineRule="exact"/>
        <w:ind w:firstLine="643" w:firstLineChars="20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七、支出预算经济分类情况说明</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财政部关于印发&lt;支出经济分类科目改革方案&gt;的通知》（财预〔2017〕98号）要求，从2018年起全面实施支出经济分类科目改革，根据政府预算管理和部门预算管理的不同特点，分设部门预算支出经济分类科目和政府预算支出经济分类科目，两套科目之间保持对应关系。我单位《支出经济分类汇总表》,按两套经济分类科目分别反映不同资金来源的全部预算支出。</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w:t>
      </w:r>
      <w:r>
        <w:rPr>
          <w:rFonts w:hint="eastAsia" w:ascii="仿宋_GB2312" w:hAnsi="仿宋_GB2312" w:eastAsia="仿宋_GB2312" w:cs="仿宋_GB2312"/>
          <w:b/>
          <w:bCs/>
          <w:sz w:val="32"/>
          <w:szCs w:val="32"/>
        </w:rPr>
        <w:t>一般公共预算“三公”经费支出预算情况说明</w:t>
      </w:r>
    </w:p>
    <w:p>
      <w:pPr>
        <w:ind w:left="319" w:leftChars="152" w:firstLine="758" w:firstLineChars="237"/>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年“三公”经费预算为</w:t>
      </w:r>
      <w:r>
        <w:rPr>
          <w:rFonts w:hint="eastAsia" w:ascii="仿宋_GB2312" w:hAnsi="仿宋_GB2312" w:eastAsia="仿宋_GB2312" w:cs="仿宋_GB2312"/>
          <w:sz w:val="32"/>
          <w:szCs w:val="32"/>
          <w:lang w:val="en-US" w:eastAsia="zh-CN"/>
        </w:rPr>
        <w:t>20.25</w:t>
      </w:r>
      <w:r>
        <w:rPr>
          <w:rFonts w:hint="eastAsia" w:ascii="仿宋_GB2312" w:hAnsi="仿宋_GB2312" w:eastAsia="仿宋_GB2312" w:cs="仿宋_GB2312"/>
          <w:sz w:val="32"/>
          <w:szCs w:val="32"/>
        </w:rPr>
        <w:t>万元。比</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减</w:t>
      </w:r>
      <w:r>
        <w:rPr>
          <w:rFonts w:hint="eastAsia" w:ascii="仿宋_GB2312" w:hAnsi="仿宋_GB2312" w:eastAsia="仿宋_GB2312" w:cs="仿宋_GB2312"/>
          <w:sz w:val="32"/>
          <w:szCs w:val="32"/>
        </w:rPr>
        <w:t>少</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万元。</w:t>
      </w:r>
    </w:p>
    <w:p>
      <w:pPr>
        <w:widowControl w:val="0"/>
        <w:kinsoku w:val="0"/>
        <w:overflowPunct w:val="0"/>
        <w:autoSpaceDE w:val="0"/>
        <w:autoSpaceDN w:val="0"/>
        <w:spacing w:before="0" w:beforeAutospacing="0" w:after="0" w:afterAutospacing="0" w:line="600" w:lineRule="exac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具体支出情况如下：</w:t>
      </w:r>
    </w:p>
    <w:p>
      <w:pPr>
        <w:widowControl w:val="0"/>
        <w:kinsoku w:val="0"/>
        <w:overflowPunct w:val="0"/>
        <w:autoSpaceDE w:val="0"/>
        <w:autoSpaceDN w:val="0"/>
        <w:spacing w:before="0" w:beforeAutospacing="0" w:after="0" w:afterAutospacing="0" w:line="600" w:lineRule="exact"/>
        <w:ind w:left="0" w:right="0" w:firstLine="643"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b/>
          <w:bCs/>
          <w:sz w:val="32"/>
          <w:szCs w:val="32"/>
        </w:rPr>
        <w:t>因公出国（境）费</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万元</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lang w:val="en-US" w:eastAsia="zh-CN"/>
        </w:rPr>
        <w:t>主要用于单位工作人员公务出国（境）的住宿费、差旅费、伙食补助费、杂费、培训费等支出。预算数比2020年保持一致。</w:t>
      </w:r>
    </w:p>
    <w:p>
      <w:pPr>
        <w:ind w:left="19" w:leftChars="9" w:firstLine="623" w:firstLineChars="194"/>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公务用车购置费</w:t>
      </w:r>
      <w:r>
        <w:rPr>
          <w:rFonts w:hint="eastAsia" w:ascii="仿宋_GB2312" w:hAnsi="仿宋_GB2312" w:eastAsia="仿宋_GB2312" w:cs="仿宋_GB2312"/>
          <w:b/>
          <w:bCs/>
          <w:sz w:val="32"/>
          <w:szCs w:val="32"/>
          <w:lang w:eastAsia="zh-CN"/>
        </w:rPr>
        <w:t>及维护费</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万元</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kern w:val="2"/>
          <w:sz w:val="32"/>
          <w:szCs w:val="32"/>
          <w:lang w:val="en-US" w:eastAsia="zh-CN"/>
        </w:rPr>
        <w:t>公务用车购置费0万元；</w:t>
      </w:r>
      <w:r>
        <w:rPr>
          <w:rFonts w:hint="eastAsia" w:ascii="仿宋_GB2312" w:hAnsi="仿宋_GB2312" w:eastAsia="仿宋_GB2312" w:cs="仿宋_GB2312"/>
          <w:sz w:val="32"/>
          <w:szCs w:val="32"/>
          <w:lang w:eastAsia="zh-CN"/>
        </w:rPr>
        <w:t>公务用车维护费</w:t>
      </w:r>
      <w:r>
        <w:rPr>
          <w:rFonts w:hint="eastAsia" w:ascii="仿宋_GB2312" w:hAnsi="仿宋_GB2312" w:eastAsia="仿宋_GB2312" w:cs="仿宋_GB2312"/>
          <w:sz w:val="32"/>
          <w:szCs w:val="32"/>
          <w:lang w:val="en-US" w:eastAsia="zh-CN"/>
        </w:rPr>
        <w:t>4万元。</w:t>
      </w:r>
      <w:r>
        <w:rPr>
          <w:rFonts w:hint="eastAsia" w:ascii="仿宋_GB2312" w:hAnsi="仿宋_GB2312" w:eastAsia="仿宋_GB2312" w:cs="仿宋_GB2312"/>
          <w:kern w:val="2"/>
          <w:sz w:val="32"/>
          <w:szCs w:val="32"/>
          <w:lang w:val="en-US" w:eastAsia="zh-CN"/>
        </w:rPr>
        <w:t>主要用于开展工作所需公务用车的燃料费、维修费、过路过桥费、保险费等支出。公务用车购置费预算数与 2020年持平，均为0万元。公务用车运行维护费预算数比 2020年减少2万元。主要原因：厉行勤俭节约，压减公务用车运行维护费。</w:t>
      </w:r>
    </w:p>
    <w:p>
      <w:pPr>
        <w:ind w:left="19" w:leftChars="9" w:firstLine="623" w:firstLineChars="194"/>
        <w:rPr>
          <w:rFonts w:hint="eastAsia" w:ascii="仿宋_GB2312" w:hAnsi="仿宋_GB2312" w:eastAsia="仿宋_GB2312" w:cs="仿宋_GB2312"/>
          <w:b/>
          <w:color w:val="FF0000"/>
          <w:sz w:val="32"/>
          <w:szCs w:val="32"/>
          <w:lang w:eastAsia="zh-CN"/>
        </w:rPr>
      </w:pPr>
      <w:r>
        <w:rPr>
          <w:rFonts w:hint="eastAsia" w:ascii="仿宋_GB2312" w:hAnsi="仿宋_GB2312" w:eastAsia="仿宋_GB2312" w:cs="仿宋_GB2312"/>
          <w:b/>
          <w:bCs/>
          <w:sz w:val="32"/>
          <w:szCs w:val="32"/>
        </w:rPr>
        <w:t>公务接待费</w:t>
      </w:r>
      <w:r>
        <w:rPr>
          <w:rFonts w:hint="eastAsia" w:ascii="仿宋_GB2312" w:hAnsi="仿宋_GB2312" w:eastAsia="仿宋_GB2312" w:cs="仿宋_GB2312"/>
          <w:b/>
          <w:bCs/>
          <w:sz w:val="32"/>
          <w:szCs w:val="32"/>
          <w:lang w:val="en-US" w:eastAsia="zh-CN"/>
        </w:rPr>
        <w:t>16.25</w:t>
      </w:r>
      <w:r>
        <w:rPr>
          <w:rFonts w:hint="eastAsia" w:ascii="仿宋_GB2312" w:hAnsi="仿宋_GB2312" w:eastAsia="仿宋_GB2312" w:cs="仿宋_GB2312"/>
          <w:b/>
          <w:bCs/>
          <w:sz w:val="32"/>
          <w:szCs w:val="32"/>
        </w:rPr>
        <w:t>万元</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lang w:val="en-US" w:eastAsia="zh-CN"/>
        </w:rPr>
        <w:t>主要用于按规定开支的各类公务接待支出。预算数比 2020年减少2.5万元。主要原因：按照中央八项规定，减少公务接待开支。</w:t>
      </w:r>
    </w:p>
    <w:p>
      <w:pPr>
        <w:ind w:firstLine="70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九、政府性基金预算支出预算情况说明</w:t>
      </w:r>
    </w:p>
    <w:p>
      <w:pPr>
        <w:ind w:firstLine="70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20</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2</w:t>
      </w:r>
      <w:r>
        <w:rPr>
          <w:rFonts w:hint="eastAsia" w:ascii="仿宋_GB2312" w:hAnsi="仿宋_GB2312" w:eastAsia="仿宋_GB2312" w:cs="仿宋_GB2312"/>
          <w:color w:val="000000"/>
          <w:sz w:val="32"/>
          <w:szCs w:val="32"/>
          <w:highlight w:val="none"/>
        </w:rPr>
        <w:t>年</w:t>
      </w:r>
      <w:r>
        <w:rPr>
          <w:rFonts w:hint="eastAsia" w:ascii="仿宋_GB2312" w:hAnsi="仿宋_GB2312" w:eastAsia="仿宋_GB2312" w:cs="仿宋_GB2312"/>
          <w:color w:val="000000"/>
          <w:sz w:val="32"/>
          <w:szCs w:val="32"/>
          <w:highlight w:val="none"/>
          <w:lang w:eastAsia="zh-CN"/>
        </w:rPr>
        <w:t>政</w:t>
      </w:r>
      <w:r>
        <w:rPr>
          <w:rFonts w:hint="eastAsia" w:ascii="仿宋_GB2312" w:hAnsi="仿宋_GB2312" w:eastAsia="仿宋_GB2312" w:cs="仿宋_GB2312"/>
          <w:color w:val="000000"/>
          <w:sz w:val="32"/>
          <w:szCs w:val="32"/>
          <w:highlight w:val="none"/>
        </w:rPr>
        <w:t>府性基金预算支出年初预算</w:t>
      </w:r>
      <w:r>
        <w:rPr>
          <w:rFonts w:hint="eastAsia" w:ascii="仿宋_GB2312" w:hAnsi="仿宋_GB2312" w:eastAsia="仿宋_GB2312" w:cs="仿宋_GB2312"/>
          <w:sz w:val="32"/>
          <w:szCs w:val="32"/>
          <w:highlight w:val="none"/>
          <w:lang w:val="en-US" w:eastAsia="zh-CN"/>
        </w:rPr>
        <w:t>为400万</w:t>
      </w:r>
      <w:r>
        <w:rPr>
          <w:rFonts w:hint="eastAsia" w:ascii="仿宋_GB2312" w:hAnsi="仿宋_GB2312" w:eastAsia="仿宋_GB2312" w:cs="仿宋_GB2312"/>
          <w:color w:val="000000"/>
          <w:sz w:val="32"/>
          <w:szCs w:val="32"/>
          <w:highlight w:val="none"/>
        </w:rPr>
        <w:t>元。支出具体情况如下：</w:t>
      </w:r>
      <w:r>
        <w:rPr>
          <w:rFonts w:hint="eastAsia" w:ascii="仿宋_GB2312" w:hAnsi="仿宋_GB2312" w:eastAsia="仿宋_GB2312" w:cs="仿宋_GB2312"/>
          <w:color w:val="000000"/>
          <w:sz w:val="32"/>
          <w:szCs w:val="32"/>
          <w:highlight w:val="none"/>
          <w:lang w:eastAsia="zh-CN"/>
        </w:rPr>
        <w:t>用于社会福利的彩票公益金支出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400</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color w:val="000000"/>
          <w:sz w:val="32"/>
          <w:szCs w:val="32"/>
          <w:highlight w:val="none"/>
        </w:rPr>
        <w:t>。</w:t>
      </w:r>
    </w:p>
    <w:p>
      <w:pPr>
        <w:ind w:firstLine="70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十、其他重要事项的情况说明</w:t>
      </w:r>
    </w:p>
    <w:p>
      <w:pPr>
        <w:ind w:firstLine="70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（一）机关运行经费支出情况说明</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2021年机关运行经费支出预算</w:t>
      </w:r>
      <w:r>
        <w:rPr>
          <w:rFonts w:hint="eastAsia" w:ascii="仿宋_GB2312" w:hAnsi="仿宋_GB2312" w:eastAsia="仿宋_GB2312" w:cs="仿宋_GB2312"/>
          <w:sz w:val="32"/>
          <w:szCs w:val="32"/>
          <w:lang w:val="en-US" w:eastAsia="zh-CN"/>
        </w:rPr>
        <w:t>498.6</w:t>
      </w:r>
      <w:r>
        <w:rPr>
          <w:rFonts w:hint="eastAsia" w:ascii="仿宋_GB2312" w:hAnsi="仿宋_GB2312" w:eastAsia="仿宋_GB2312" w:cs="仿宋_GB2312"/>
          <w:sz w:val="32"/>
          <w:szCs w:val="32"/>
        </w:rPr>
        <w:t>万元，主要保障机关人员工资发放、机构正常运转及正常履职需要。</w:t>
      </w:r>
    </w:p>
    <w:p>
      <w:pPr>
        <w:ind w:firstLine="70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（二）政府采购支出情况</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highlight w:val="none"/>
        </w:rPr>
        <w:t>无</w:t>
      </w:r>
      <w:r>
        <w:rPr>
          <w:rFonts w:hint="eastAsia" w:ascii="仿宋_GB2312" w:hAnsi="仿宋_GB2312" w:eastAsia="仿宋_GB2312" w:cs="仿宋_GB2312"/>
          <w:sz w:val="32"/>
          <w:szCs w:val="32"/>
        </w:rPr>
        <w:t>政府采购预算安排。</w:t>
      </w:r>
    </w:p>
    <w:p>
      <w:pPr>
        <w:ind w:firstLine="70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（三）绩效目标设置情况</w:t>
      </w:r>
    </w:p>
    <w:p>
      <w:pPr>
        <w:ind w:firstLine="640" w:firstLineChars="200"/>
        <w:rPr>
          <w:rFonts w:ascii="仿宋_GB2312" w:eastAsia="仿宋_GB2312" w:cs="Times New Roman"/>
          <w:sz w:val="32"/>
          <w:szCs w:val="32"/>
          <w:highlight w:val="none"/>
        </w:rPr>
      </w:pPr>
      <w:r>
        <w:rPr>
          <w:rFonts w:hint="eastAsia" w:ascii="仿宋_GB2312" w:hAnsi="仿宋_GB2312" w:eastAsia="仿宋_GB2312" w:cs="仿宋_GB2312"/>
          <w:sz w:val="32"/>
          <w:szCs w:val="32"/>
          <w:highlight w:val="none"/>
          <w:lang w:val="en-US" w:eastAsia="zh-CN"/>
        </w:rPr>
        <w:t>2021年，</w:t>
      </w:r>
      <w:r>
        <w:rPr>
          <w:rFonts w:hint="eastAsia" w:ascii="仿宋_GB2312" w:hAnsi="仿宋_GB2312" w:eastAsia="仿宋_GB2312" w:cs="仿宋_GB2312"/>
          <w:sz w:val="32"/>
          <w:szCs w:val="32"/>
          <w:highlight w:val="none"/>
          <w:lang w:eastAsia="zh-CN"/>
        </w:rPr>
        <w:t>我单位</w:t>
      </w:r>
      <w:r>
        <w:rPr>
          <w:rFonts w:hint="eastAsia" w:ascii="仿宋_GB2312" w:hAnsi="仿宋_GB2312" w:eastAsia="仿宋_GB2312" w:cs="仿宋_GB2312"/>
          <w:sz w:val="32"/>
          <w:szCs w:val="32"/>
          <w:highlight w:val="none"/>
          <w:lang w:val="en-US" w:eastAsia="zh-CN"/>
        </w:rPr>
        <w:t>拟组织对儿童福利、老年福利、残疾人生活和护理补贴、城市最低生活保障金、农村最低生</w:t>
      </w:r>
      <w:bookmarkStart w:id="0" w:name="_GoBack"/>
      <w:bookmarkEnd w:id="0"/>
      <w:r>
        <w:rPr>
          <w:rFonts w:hint="eastAsia" w:ascii="仿宋_GB2312" w:hAnsi="仿宋_GB2312" w:eastAsia="仿宋_GB2312" w:cs="仿宋_GB2312"/>
          <w:sz w:val="32"/>
          <w:szCs w:val="32"/>
          <w:highlight w:val="none"/>
          <w:lang w:val="en-US" w:eastAsia="zh-CN"/>
        </w:rPr>
        <w:t>活保障金、临时救助、农村特困救助供养、其他社会保障和就业等8个项目进行预算绩效评价，涉及资金15384万元。</w:t>
      </w:r>
    </w:p>
    <w:p>
      <w:pPr>
        <w:ind w:firstLine="70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（四）国有资产占用情况</w:t>
      </w:r>
    </w:p>
    <w:p>
      <w:pPr>
        <w:ind w:firstLine="709"/>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sz w:val="32"/>
          <w:szCs w:val="32"/>
        </w:rPr>
        <w:t>2020年期末，我单位共有车辆</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sz w:val="32"/>
          <w:szCs w:val="32"/>
        </w:rPr>
        <w:t>辆，其中：一般公务用车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eastAsia="zh-CN"/>
        </w:rPr>
        <w:t>救灾专用车</w:t>
      </w:r>
      <w:r>
        <w:rPr>
          <w:rFonts w:hint="eastAsia" w:ascii="仿宋_GB2312" w:hAnsi="仿宋_GB2312" w:eastAsia="仿宋_GB2312" w:cs="仿宋_GB2312"/>
          <w:sz w:val="32"/>
          <w:szCs w:val="32"/>
          <w:lang w:val="en-US" w:eastAsia="zh-CN"/>
        </w:rPr>
        <w:t>1辆、流浪乞讨救助车1辆</w:t>
      </w:r>
      <w:r>
        <w:rPr>
          <w:rFonts w:hint="eastAsia" w:ascii="仿宋_GB2312" w:hAnsi="仿宋_GB2312" w:eastAsia="仿宋_GB2312" w:cs="仿宋_GB2312"/>
          <w:sz w:val="32"/>
          <w:szCs w:val="32"/>
        </w:rPr>
        <w:t>。单价50万元以上通用设备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w:t>
      </w:r>
    </w:p>
    <w:p>
      <w:pPr>
        <w:ind w:firstLine="70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（五）专项转移支付情况</w:t>
      </w:r>
    </w:p>
    <w:p>
      <w:pPr>
        <w:kinsoku w:val="0"/>
        <w:overflowPunct w:val="0"/>
        <w:autoSpaceDE w:val="0"/>
        <w:autoSpaceDN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我单位负责的专项转移支付项目共有</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项，主要是：</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2021年中央城市低保资金</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lang w:val="en-US" w:eastAsia="zh-CN"/>
        </w:rPr>
        <w:t>662万元，</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2021年中央农村低保资金</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lang w:val="en-US" w:eastAsia="zh-CN"/>
        </w:rPr>
        <w:t>8400万元，</w:t>
      </w:r>
      <w:r>
        <w:rPr>
          <w:rFonts w:hint="eastAsia" w:ascii="仿宋_GB2312" w:hAnsi="仿宋_GB2312" w:eastAsia="仿宋_GB2312" w:cs="仿宋_GB2312"/>
          <w:sz w:val="32"/>
          <w:szCs w:val="32"/>
        </w:rPr>
        <w:t>农村特困人员救助供养</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3478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提前下达2021年</w:t>
      </w:r>
      <w:r>
        <w:rPr>
          <w:rFonts w:hint="eastAsia" w:ascii="仿宋_GB2312" w:hAnsi="仿宋_GB2312" w:eastAsia="仿宋_GB2312" w:cs="仿宋_GB2312"/>
          <w:sz w:val="32"/>
          <w:szCs w:val="32"/>
        </w:rPr>
        <w:t>高龄津补贴项目</w:t>
      </w:r>
      <w:r>
        <w:rPr>
          <w:rFonts w:hint="eastAsia" w:ascii="仿宋_GB2312" w:hAnsi="仿宋_GB2312" w:eastAsia="仿宋_GB2312" w:cs="仿宋_GB2312"/>
          <w:sz w:val="32"/>
          <w:szCs w:val="32"/>
          <w:lang w:val="en-US" w:eastAsia="zh-CN"/>
        </w:rPr>
        <w:t>316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rPr>
        <w:t>残疾人</w:t>
      </w:r>
      <w:r>
        <w:rPr>
          <w:rFonts w:hint="eastAsia" w:ascii="仿宋_GB2312" w:hAnsi="仿宋_GB2312" w:eastAsia="仿宋_GB2312" w:cs="仿宋_GB2312"/>
          <w:sz w:val="32"/>
          <w:szCs w:val="32"/>
          <w:lang w:eastAsia="zh-CN"/>
        </w:rPr>
        <w:t>两项</w:t>
      </w:r>
      <w:r>
        <w:rPr>
          <w:rFonts w:hint="eastAsia" w:ascii="仿宋_GB2312" w:hAnsi="仿宋_GB2312" w:eastAsia="仿宋_GB2312" w:cs="仿宋_GB2312"/>
          <w:sz w:val="32"/>
          <w:szCs w:val="32"/>
        </w:rPr>
        <w:t>补贴上级补助项目</w:t>
      </w:r>
      <w:r>
        <w:rPr>
          <w:rFonts w:hint="eastAsia" w:ascii="仿宋_GB2312" w:hAnsi="仿宋_GB2312" w:eastAsia="仿宋_GB2312" w:cs="仿宋_GB2312"/>
          <w:sz w:val="32"/>
          <w:szCs w:val="32"/>
          <w:lang w:val="en-US" w:eastAsia="zh-CN"/>
        </w:rPr>
        <w:t>1501</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lang w:eastAsia="zh-CN"/>
        </w:rPr>
        <w:t>孤儿基本生活保障补助费</w:t>
      </w:r>
      <w:r>
        <w:rPr>
          <w:rFonts w:hint="eastAsia" w:ascii="仿宋_GB2312" w:hAnsi="仿宋_GB2312" w:eastAsia="仿宋_GB2312" w:cs="仿宋_GB2312"/>
          <w:sz w:val="32"/>
          <w:szCs w:val="32"/>
          <w:lang w:val="en-US" w:eastAsia="zh-CN"/>
        </w:rPr>
        <w:t>500万元，</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lang w:eastAsia="zh-CN"/>
        </w:rPr>
        <w:t>临时救助资金</w:t>
      </w:r>
      <w:r>
        <w:rPr>
          <w:rFonts w:hint="eastAsia" w:ascii="仿宋_GB2312" w:hAnsi="仿宋_GB2312" w:eastAsia="仿宋_GB2312" w:cs="仿宋_GB2312"/>
          <w:sz w:val="32"/>
          <w:szCs w:val="32"/>
          <w:lang w:val="en-US" w:eastAsia="zh-CN"/>
        </w:rPr>
        <w:t>380万元，</w:t>
      </w:r>
      <w:r>
        <w:rPr>
          <w:rFonts w:hint="eastAsia" w:ascii="仿宋_GB2312" w:hAnsi="仿宋_GB2312" w:eastAsia="仿宋_GB2312" w:cs="仿宋_GB2312"/>
          <w:sz w:val="32"/>
          <w:szCs w:val="32"/>
          <w:lang w:eastAsia="zh-CN"/>
        </w:rPr>
        <w:t>提前下达</w:t>
      </w:r>
      <w:r>
        <w:rPr>
          <w:rFonts w:hint="eastAsia" w:ascii="仿宋_GB2312" w:hAnsi="仿宋_GB2312" w:eastAsia="仿宋_GB2312" w:cs="仿宋_GB2312"/>
          <w:sz w:val="32"/>
          <w:szCs w:val="32"/>
          <w:lang w:val="en-US" w:eastAsia="zh-CN"/>
        </w:rPr>
        <w:t>2021年艾滋病致孤人员、单亲家庭和患者的各项医疗救助资金147万元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我单位将按照《预算法》等有关规定，积极做好项目分配前期准备工作，在规定的时间内向财政单位提出资金分配意见，并根据有关要求做好项目申报公开等相关工作</w:t>
      </w:r>
    </w:p>
    <w:p>
      <w:pPr>
        <w:ind w:firstLine="709"/>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第三部分 名词解释</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一、财政拨款收入：是指市级财政当年拨付的资金。</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二、财政专户管理资金：是指缴入财政专户、实行专项管理的高中以上学费、住宿费、高校委托培训费、函大、电大、夜大及短期培训费等教育收费。</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三、事业收入：是指事业单位开展专业活动及辅助活动所取得的收入，不包括教育收费。</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四、事业单位经营收入：是指事业单位在专业业务活动及其辅助活动之外开展独立核算经营活动取得的收入。</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五、其他收入：是指单位取得的除“财政拨款”、“事业收入”、“事业单位经营收入”等以外的收入。</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用事业基金弥补收支差额：是指事业单位在当年的“财政拨款收入”、“事业收入”、“经营收入”和“其他收入”不足以安排当年支出的情况下，使用以前年度积累的事业基金（即事业单位以前各年度收支相抵后，按国家规定提取、用于弥补以后年度收支差额的基金）弥补当年收支缺口的资金。</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七、基本支出：是指为保障机构正常运转、完成日常工作任务所必需的开支，其内容包括人员经费和日常公用经费两部分。</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八、项目支出：是指在基本支出之外，为完成特定的行政工作任务或事业发展目标所发生的支出。</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三公”经费：是指纳入本级财政预算管理，单位使用财政拨款安排的因公出国（境）费、公务用车购置及运行费和公务接待费。其中，因公出国（境）费反映单位公务出国（境）的住宿费、差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bCs/>
          <w:sz w:val="32"/>
          <w:szCs w:val="32"/>
        </w:rPr>
        <w:t>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Pr>
        <w:ind w:firstLine="709"/>
        <w:rPr>
          <w:rFonts w:hint="eastAsia" w:ascii="仿宋_GB2312" w:hAnsi="仿宋_GB2312" w:eastAsia="仿宋_GB2312" w:cs="仿宋_GB2312"/>
          <w:sz w:val="32"/>
          <w:szCs w:val="32"/>
        </w:rPr>
      </w:pPr>
    </w:p>
    <w:p>
      <w:pPr>
        <w:ind w:firstLine="426"/>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附件：2021年度单位预算表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一、单位收支总体情况表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二、单位收入总体情况表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三、单位支出总体情况表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四、财政拨款收支总体情况表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五、一般公共预算支出情况表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六、一般公共预算基本支出情况表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七、一般公共预算“三公”经费支出情况表</w:t>
      </w:r>
    </w:p>
    <w:p>
      <w:pPr>
        <w:ind w:firstLine="709"/>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八、政府性基金预算支出情况表</w:t>
      </w:r>
    </w:p>
    <w:p>
      <w:pPr>
        <w:ind w:firstLine="709"/>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九、支出经济分类汇总表</w:t>
      </w:r>
    </w:p>
    <w:p>
      <w:pPr>
        <w:ind w:firstLine="426"/>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cols w:space="720" w:num="1"/>
          <w:docGrid w:type="lines" w:linePitch="312" w:charSpace="0"/>
        </w:sectPr>
      </w:pPr>
    </w:p>
    <w:p>
      <w:pPr>
        <w:ind w:left="0" w:leftChars="0" w:firstLine="0" w:firstLineChars="0"/>
        <w:jc w:val="left"/>
        <w:rPr>
          <w:rFonts w:hint="eastAsia" w:ascii="仿宋_GB2312" w:hAnsi="仿宋_GB2312" w:eastAsia="仿宋_GB2312" w:cs="仿宋_GB2312"/>
          <w:sz w:val="32"/>
          <w:szCs w:val="32"/>
        </w:rPr>
        <w:sectPr>
          <w:pgSz w:w="16838" w:h="11906" w:orient="landscape"/>
          <w:pgMar w:top="1134" w:right="1134" w:bottom="1134" w:left="1134" w:header="851" w:footer="992" w:gutter="0"/>
          <w:cols w:space="720" w:num="1"/>
          <w:docGrid w:type="lines" w:linePitch="312" w:charSpace="0"/>
        </w:sectPr>
      </w:pPr>
      <w:r>
        <w:rPr>
          <w:rFonts w:hint="eastAsia" w:ascii="仿宋_GB2312" w:hAnsi="仿宋_GB2312" w:eastAsia="仿宋_GB2312" w:cs="仿宋_GB2312"/>
          <w:kern w:val="2"/>
          <w:sz w:val="32"/>
          <w:szCs w:val="32"/>
          <w:lang w:val="en-US" w:eastAsia="zh-CN" w:bidi="ar-SA"/>
        </w:rPr>
        <w:object>
          <v:shape id="_x0000_i1025" o:spt="75" type="#_x0000_t75" style="height:471.7pt;width:736.15pt;" o:ole="t" fillcolor="#FFFFFF" filled="f" o:preferrelative="t" stroked="f" coordsize="21600,21600">
            <v:path/>
            <v:fill on="f" color2="#FFFFFF" focussize="0,0"/>
            <v:stroke on="f"/>
            <v:imagedata r:id="rId6" gain="65536f" blacklevel="0f" gamma="0" o:title=""/>
            <o:lock v:ext="edit" position="f" selection="f" grouping="f" rotation="f" cropping="f" text="f" aspectratio="f"/>
            <w10:wrap type="none"/>
            <w10:anchorlock/>
          </v:shape>
          <o:OLEObject Type="Embed" ProgID="Excel.Sheet.12" ShapeID="_x0000_i1025" DrawAspect="Content" ObjectID="_1468075725" r:id="rId5">
            <o:LockedField>false</o:LockedField>
          </o:OLEObject>
        </w:object>
      </w:r>
      <w:r>
        <w:rPr>
          <w:rFonts w:hint="eastAsia" w:ascii="仿宋_GB2312" w:hAnsi="仿宋_GB2312" w:eastAsia="仿宋_GB2312" w:cs="仿宋_GB2312"/>
          <w:kern w:val="2"/>
          <w:sz w:val="32"/>
          <w:szCs w:val="32"/>
          <w:lang w:val="en-US" w:eastAsia="zh-CN" w:bidi="ar-SA"/>
        </w:rPr>
        <w:object>
          <v:shape id="_x0000_i1028" o:spt="75" type="#_x0000_t75" style="height:482.45pt;width:743.2pt;" o:ole="t" fillcolor="#FFFFFF" filled="f" o:preferrelative="t" stroked="f" coordsize="21600,21600">
            <v:path/>
            <v:fill on="f" color2="#FFFFFF" focussize="0,0"/>
            <v:stroke on="f"/>
            <v:imagedata r:id="rId8" gain="65536f" blacklevel="0f" gamma="0" o:title=""/>
            <o:lock v:ext="edit" position="f" selection="f" grouping="f" rotation="f" cropping="f" text="f" aspectratio="f"/>
            <w10:wrap type="none"/>
            <w10:anchorlock/>
          </v:shape>
          <o:OLEObject Type="Embed" ProgID="Excel.Sheet.12" ShapeID="_x0000_i1028" DrawAspect="Content" ObjectID="_1468075726" r:id="rId7">
            <o:LockedField>false</o:LockedField>
          </o:OLEObject>
        </w:object>
      </w:r>
      <w:r>
        <w:rPr>
          <w:rFonts w:hint="eastAsia" w:ascii="仿宋_GB2312" w:hAnsi="仿宋_GB2312" w:eastAsia="仿宋_GB2312" w:cs="仿宋_GB2312"/>
          <w:kern w:val="2"/>
          <w:sz w:val="32"/>
          <w:szCs w:val="32"/>
          <w:lang w:val="en-US" w:eastAsia="zh-CN" w:bidi="ar-SA"/>
        </w:rPr>
        <w:object>
          <v:shape id="_x0000_i1029" o:spt="75" type="#_x0000_t75" style="height:470.6pt;width:766.95pt;" o:ole="t" fillcolor="#FFFFFF" filled="f" o:preferrelative="t" stroked="f" coordsize="21600,21600">
            <v:path/>
            <v:fill on="f" color2="#FFFFFF" focussize="0,0"/>
            <v:stroke on="f"/>
            <v:imagedata r:id="rId10" gain="65536f" blacklevel="0f" gamma="0" o:title=""/>
            <o:lock v:ext="edit" position="f" selection="f" grouping="f" rotation="f" cropping="f" text="f" aspectratio="f"/>
            <w10:wrap type="none"/>
            <w10:anchorlock/>
          </v:shape>
          <o:OLEObject Type="Embed" ProgID="Excel.Sheet.12" ShapeID="_x0000_i1029" DrawAspect="Content" ObjectID="_1468075727" r:id="rId9">
            <o:LockedField>false</o:LockedField>
          </o:OLEObject>
        </w:object>
      </w:r>
    </w:p>
    <w:p>
      <w:pPr>
        <w:ind w:left="0" w:leftChars="0" w:firstLine="0" w:firstLineChars="0"/>
        <w:jc w:val="left"/>
        <w:rPr>
          <w:rFonts w:hint="eastAsia" w:ascii="仿宋_GB2312" w:hAnsi="仿宋_GB2312" w:eastAsia="仿宋_GB2312" w:cs="仿宋_GB2312"/>
          <w:sz w:val="32"/>
          <w:szCs w:val="32"/>
        </w:rPr>
        <w:sectPr>
          <w:pgSz w:w="11906" w:h="16838"/>
          <w:pgMar w:top="1134" w:right="1134" w:bottom="1134" w:left="1134" w:header="851" w:footer="992" w:gutter="0"/>
          <w:cols w:space="720" w:num="1"/>
          <w:docGrid w:type="lines" w:linePitch="312" w:charSpace="0"/>
        </w:sectPr>
      </w:pPr>
      <w:r>
        <w:rPr>
          <w:rFonts w:hint="eastAsia" w:ascii="仿宋_GB2312" w:hAnsi="仿宋_GB2312" w:eastAsia="仿宋_GB2312" w:cs="仿宋_GB2312"/>
          <w:kern w:val="2"/>
          <w:sz w:val="32"/>
          <w:szCs w:val="32"/>
          <w:lang w:val="en-US" w:eastAsia="zh-CN" w:bidi="ar-SA"/>
        </w:rPr>
        <w:object>
          <v:shape id="_x0000_i1030" o:spt="75" type="#_x0000_t75" style="height:692.3pt;width:518.2pt;" o:ole="t" fillcolor="#FFFFFF" filled="f" o:preferrelative="t" stroked="f" coordsize="21600,21600">
            <v:path/>
            <v:fill on="f" color2="#FFFFFF" focussize="0,0"/>
            <v:stroke on="f"/>
            <v:imagedata r:id="rId12" gain="65536f" blacklevel="0f" gamma="0" o:title=""/>
            <o:lock v:ext="edit" position="f" selection="f" grouping="f" rotation="f" cropping="f" text="f" aspectratio="f"/>
            <w10:wrap type="none"/>
            <w10:anchorlock/>
          </v:shape>
          <o:OLEObject Type="Embed" ProgID="Excel.Sheet.12" ShapeID="_x0000_i1030" DrawAspect="Content" ObjectID="_1468075728" r:id="rId11">
            <o:LockedField>false</o:LockedField>
          </o:OLEObject>
        </w:object>
      </w:r>
    </w:p>
    <w:p>
      <w:pPr>
        <w:ind w:left="0" w:leftChars="0" w:firstLine="0" w:firstLineChar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object>
          <v:shape id="_x0000_i1031" o:spt="75" type="#_x0000_t75" style="height:475.55pt;width:728.2pt;" o:ole="t" fillcolor="#FFFFFF" filled="f" o:preferrelative="t" stroked="f" coordsize="21600,21600">
            <v:path/>
            <v:fill on="f" color2="#FFFFFF" focussize="0,0"/>
            <v:stroke on="f"/>
            <v:imagedata r:id="rId14" gain="65536f" blacklevel="0f" gamma="0" o:title=""/>
            <o:lock v:ext="edit" position="f" selection="f" grouping="f" rotation="f" cropping="f" text="f" aspectratio="f"/>
            <w10:wrap type="none"/>
            <w10:anchorlock/>
          </v:shape>
          <o:OLEObject Type="Embed" ProgID="Excel.Sheet.12" ShapeID="_x0000_i1031" DrawAspect="Content" ObjectID="_1468075729" r:id="rId13">
            <o:LockedField>false</o:LockedField>
          </o:OLEObject>
        </w:object>
      </w:r>
    </w:p>
    <w:p>
      <w:pPr>
        <w:ind w:left="0" w:leftChars="0" w:firstLine="0" w:firstLineChar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object>
          <v:shape id="_x0000_i1032" o:spt="75" type="#_x0000_t75" style="height:471.75pt;width:736.25pt;" o:ole="t" fillcolor="#FFFFFF" filled="f" o:preferrelative="t" stroked="f" coordsize="21600,21600">
            <v:path/>
            <v:fill on="f" color2="#FFFFFF" focussize="0,0"/>
            <v:stroke on="f"/>
            <v:imagedata r:id="rId16" gain="65536f" blacklevel="0f" gamma="0" o:title=""/>
            <o:lock v:ext="edit" position="f" selection="f" grouping="f" rotation="f" cropping="f" text="f" aspectratio="f"/>
            <w10:wrap type="none"/>
            <w10:anchorlock/>
          </v:shape>
          <o:OLEObject Type="Embed" ProgID="Excel.Sheet.12" ShapeID="_x0000_i1032" DrawAspect="Content" ObjectID="_1468075730" r:id="rId15">
            <o:LockedField>false</o:LockedField>
          </o:OLEObject>
        </w:object>
      </w:r>
      <w:r>
        <w:rPr>
          <w:rFonts w:hint="eastAsia" w:ascii="仿宋_GB2312" w:hAnsi="仿宋_GB2312" w:eastAsia="仿宋_GB2312" w:cs="仿宋_GB2312"/>
          <w:kern w:val="2"/>
          <w:sz w:val="32"/>
          <w:szCs w:val="32"/>
          <w:lang w:val="en-US" w:eastAsia="zh-CN" w:bidi="ar-SA"/>
        </w:rPr>
        <w:object>
          <v:shape id="_x0000_i1033" o:spt="75" type="#_x0000_t75" style="height:469.65pt;width:730.9pt;" o:ole="t" fillcolor="#FFFFFF" filled="f" o:preferrelative="t" stroked="f" coordsize="21600,21600">
            <v:path/>
            <v:fill on="f" color2="#FFFFFF" focussize="0,0"/>
            <v:stroke on="f"/>
            <v:imagedata r:id="rId18" gain="65536f" blacklevel="0f" gamma="0" o:title=""/>
            <o:lock v:ext="edit" position="f" selection="f" grouping="f" rotation="f" cropping="f" text="f" aspectratio="f"/>
            <w10:wrap type="none"/>
            <w10:anchorlock/>
          </v:shape>
          <o:OLEObject Type="Embed" ProgID="Excel.Sheet.12" ShapeID="_x0000_i1033" DrawAspect="Content" ObjectID="_1468075731" r:id="rId17">
            <o:LockedField>false</o:LockedField>
          </o:OLEObject>
        </w:object>
      </w:r>
      <w:r>
        <w:rPr>
          <w:rFonts w:hint="eastAsia" w:ascii="仿宋_GB2312" w:hAnsi="仿宋_GB2312" w:eastAsia="仿宋_GB2312" w:cs="仿宋_GB2312"/>
          <w:kern w:val="2"/>
          <w:sz w:val="32"/>
          <w:szCs w:val="32"/>
          <w:lang w:val="en-US" w:eastAsia="zh-CN" w:bidi="ar-SA"/>
        </w:rPr>
        <w:object>
          <v:shape id="_x0000_i1034" o:spt="75" type="#_x0000_t75" style="height:428.95pt;width:739.45pt;" o:ole="t" fillcolor="#FFFFFF" filled="f" o:preferrelative="t" stroked="f" coordsize="21600,21600">
            <v:path/>
            <v:fill on="f" color2="#FFFFFF" focussize="0,0"/>
            <v:stroke on="f"/>
            <v:imagedata r:id="rId20" gain="65536f" blacklevel="0f" gamma="0" o:title=""/>
            <o:lock v:ext="edit" position="f" selection="f" grouping="f" rotation="f" cropping="f" text="f" aspectratio="f"/>
            <w10:wrap type="none"/>
            <w10:anchorlock/>
          </v:shape>
          <o:OLEObject Type="Embed" ProgID="Excel.Sheet.12" ShapeID="_x0000_i1034" DrawAspect="Content" ObjectID="_1468075732" r:id="rId19">
            <o:LockedField>false</o:LockedField>
          </o:OLEObject>
        </w:object>
      </w:r>
    </w:p>
    <w:p>
      <w:pPr>
        <w:ind w:left="0" w:leftChars="0" w:firstLine="0" w:firstLineChar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object>
          <v:shape id="_x0000_i1035" o:spt="75" type="#_x0000_t75" style="height:473.15pt;width:747.2pt;" o:ole="t" fillcolor="#FFFFFF" filled="f" o:preferrelative="t" stroked="f" coordsize="21600,21600">
            <v:path/>
            <v:fill on="f" color2="#FFFFFF" focussize="0,0"/>
            <v:stroke on="f"/>
            <v:imagedata r:id="rId22" gain="65536f" blacklevel="0f" gamma="0" o:title=""/>
            <o:lock v:ext="edit" position="f" selection="f" grouping="f" rotation="f" cropping="f" text="f" aspectratio="f"/>
            <w10:wrap type="none"/>
            <w10:anchorlock/>
          </v:shape>
          <o:OLEObject Type="Embed" ProgID="Excel.Sheet.12" ShapeID="_x0000_i1035" DrawAspect="Content" ObjectID="_1468075733" r:id="rId21">
            <o:LockedField>false</o:LockedField>
          </o:OLEObject>
        </w:object>
      </w: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Calibri" w:hAnsi="Calibri" w:eastAsia="宋体" w:cs="黑体"/>
        <w:kern w:val="2"/>
        <w:sz w:val="18"/>
        <w:szCs w:val="18"/>
        <w:lang w:val="en-US" w:eastAsia="zh-CN" w:bidi="ar-SA"/>
      </w:rPr>
      <w:pict>
        <v:rect id="文本框 1"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23AB1"/>
    <w:multiLevelType w:val="multilevel"/>
    <w:tmpl w:val="10A23AB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8E665B"/>
    <w:multiLevelType w:val="singleLevel"/>
    <w:tmpl w:val="268E665B"/>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0534E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32"/>
      <w:szCs w:val="32"/>
      <w:lang w:val="zh-CN" w:eastAsia="zh-CN" w:bidi="zh-CN"/>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List Paragraph"/>
    <w:basedOn w:val="1"/>
    <w:qFormat/>
    <w:uiPriority w:val="34"/>
    <w:pPr>
      <w:ind w:firstLine="420"/>
    </w:pPr>
  </w:style>
  <w:style w:type="paragraph" w:customStyle="1" w:styleId="9">
    <w:name w:val="Normal_7"/>
    <w:qFormat/>
    <w:uiPriority w:val="0"/>
    <w:pPr>
      <w:spacing w:before="120" w:after="240"/>
      <w:jc w:val="both"/>
    </w:pPr>
    <w:rPr>
      <w:rFonts w:ascii="Calibri" w:hAnsi="Calibri" w:eastAsia="Calibri" w:cs="黑体"/>
      <w:sz w:val="22"/>
      <w:szCs w:val="22"/>
      <w:lang w:val="en-US" w:eastAsia="en-US" w:bidi="ar-SA"/>
    </w:rPr>
  </w:style>
  <w:style w:type="character" w:customStyle="1" w:styleId="10">
    <w:name w:val="页眉 Char Char"/>
    <w:basedOn w:val="7"/>
    <w:link w:val="5"/>
    <w:uiPriority w:val="99"/>
    <w:rPr>
      <w:sz w:val="18"/>
      <w:szCs w:val="18"/>
    </w:rPr>
  </w:style>
  <w:style w:type="character" w:customStyle="1" w:styleId="11">
    <w:name w:val="页脚 Char Char"/>
    <w:basedOn w:val="7"/>
    <w:link w:val="4"/>
    <w:qFormat/>
    <w:uiPriority w:val="99"/>
    <w:rPr>
      <w:sz w:val="18"/>
      <w:szCs w:val="18"/>
    </w:rPr>
  </w:style>
  <w:style w:type="character" w:customStyle="1" w:styleId="12">
    <w:name w:val="批注框文本 Char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Pages>
  <Words>3620</Words>
  <Characters>3886</Characters>
  <Lines>21</Lines>
  <Paragraphs>6</Paragraphs>
  <TotalTime>0</TotalTime>
  <ScaleCrop>false</ScaleCrop>
  <LinksUpToDate>false</LinksUpToDate>
  <CharactersWithSpaces>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2019-09-16T03:24:00Z</dcterms:created>
  <dc:creator>null,null,总收发</dc:creator>
  <cp:lastModifiedBy>琳琳小不点儿</cp:lastModifiedBy>
  <cp:lastPrinted>2022-05-18T02:02:00Z</cp:lastPrinted>
  <dcterms:modified xsi:type="dcterms:W3CDTF">2022-09-01T09:08:34Z</dcterms:modified>
  <dc:title>邓州市2021年民政局单位预算基本情况说明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57DF475224584D62A7486AFF5936A617</vt:lpwstr>
  </property>
</Properties>
</file>