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28"/>
          <w:szCs w:val="32"/>
        </w:rPr>
      </w:pPr>
      <w:r>
        <w:rPr>
          <w:rFonts w:hint="eastAsia" w:ascii="方正小标宋简体" w:hAnsi="黑体" w:eastAsia="方正小标宋简体"/>
          <w:w w:val="90"/>
          <w:sz w:val="44"/>
          <w:szCs w:val="32"/>
        </w:rPr>
        <w:t>邓州市2021年</w:t>
      </w:r>
      <w:r>
        <w:rPr>
          <w:rFonts w:hint="eastAsia" w:ascii="方正小标宋简体" w:hAnsi="黑体" w:eastAsia="方正小标宋简体"/>
          <w:w w:val="90"/>
          <w:sz w:val="44"/>
          <w:szCs w:val="32"/>
          <w:lang w:eastAsia="zh-CN"/>
        </w:rPr>
        <w:t>殡仪馆</w:t>
      </w:r>
      <w:r>
        <w:rPr>
          <w:rFonts w:hint="eastAsia" w:ascii="方正小标宋简体" w:hAnsi="黑体" w:eastAsia="方正小标宋简体"/>
          <w:w w:val="90"/>
          <w:sz w:val="44"/>
          <w:szCs w:val="32"/>
        </w:rPr>
        <w:t>单位预算基本情况说明</w:t>
      </w:r>
    </w:p>
    <w:p>
      <w:pPr>
        <w:jc w:val="center"/>
        <w:rPr>
          <w:rFonts w:ascii="黑体" w:hAnsi="宋体" w:eastAsia="黑体"/>
          <w:sz w:val="36"/>
          <w:szCs w:val="32"/>
        </w:rPr>
      </w:pPr>
      <w:r>
        <w:rPr>
          <w:rFonts w:hint="eastAsia" w:ascii="黑体" w:hAnsi="宋体" w:eastAsia="黑体"/>
          <w:sz w:val="36"/>
          <w:szCs w:val="32"/>
        </w:rPr>
        <w:t>目  录</w:t>
      </w:r>
    </w:p>
    <w:p>
      <w:pPr>
        <w:spacing w:beforeLines="100"/>
        <w:jc w:val="left"/>
        <w:rPr>
          <w:rFonts w:ascii="黑体" w:hAnsi="宋体" w:eastAsia="黑体"/>
          <w:sz w:val="32"/>
          <w:szCs w:val="32"/>
        </w:rPr>
      </w:pPr>
      <w:r>
        <w:rPr>
          <w:rFonts w:hint="eastAsia" w:ascii="黑体" w:hAnsi="宋体" w:eastAsia="黑体"/>
          <w:sz w:val="32"/>
          <w:szCs w:val="32"/>
        </w:rPr>
        <w:t>第一部分  邓州市</w:t>
      </w:r>
      <w:r>
        <w:rPr>
          <w:rFonts w:hint="eastAsia" w:ascii="黑体" w:hAnsi="宋体" w:eastAsia="黑体"/>
          <w:sz w:val="32"/>
          <w:szCs w:val="32"/>
          <w:lang w:eastAsia="zh-CN"/>
        </w:rPr>
        <w:t>殡仪馆</w:t>
      </w:r>
      <w:r>
        <w:rPr>
          <w:rFonts w:hint="eastAsia" w:ascii="黑体" w:hAnsi="宋体" w:eastAsia="黑体"/>
          <w:sz w:val="32"/>
          <w:szCs w:val="32"/>
        </w:rPr>
        <w:t>概况</w:t>
      </w:r>
    </w:p>
    <w:p>
      <w:pPr>
        <w:pStyle w:val="7"/>
        <w:numPr>
          <w:ilvl w:val="0"/>
          <w:numId w:val="1"/>
        </w:numPr>
        <w:jc w:val="left"/>
        <w:rPr>
          <w:rFonts w:ascii="仿宋_GB2312" w:hAnsi="宋体" w:eastAsia="仿宋_GB2312"/>
          <w:sz w:val="32"/>
          <w:szCs w:val="32"/>
        </w:rPr>
      </w:pPr>
      <w:r>
        <w:rPr>
          <w:rFonts w:hint="eastAsia" w:ascii="仿宋_GB2312" w:hAnsi="宋体" w:eastAsia="仿宋_GB2312"/>
          <w:sz w:val="32"/>
          <w:szCs w:val="32"/>
        </w:rPr>
        <w:t>主要职责</w:t>
      </w:r>
    </w:p>
    <w:p>
      <w:pPr>
        <w:pStyle w:val="7"/>
        <w:numPr>
          <w:ilvl w:val="0"/>
          <w:numId w:val="1"/>
        </w:numPr>
        <w:jc w:val="left"/>
        <w:rPr>
          <w:rFonts w:ascii="仿宋_GB2312" w:hAnsi="宋体" w:eastAsia="仿宋_GB2312"/>
          <w:sz w:val="32"/>
          <w:szCs w:val="32"/>
        </w:rPr>
      </w:pPr>
      <w:r>
        <w:rPr>
          <w:rFonts w:hint="eastAsia" w:ascii="仿宋_GB2312" w:hAnsi="宋体" w:eastAsia="仿宋_GB2312"/>
          <w:sz w:val="32"/>
          <w:szCs w:val="32"/>
        </w:rPr>
        <w:t>预算单位构成情况</w:t>
      </w:r>
    </w:p>
    <w:p>
      <w:pPr>
        <w:jc w:val="left"/>
        <w:rPr>
          <w:rFonts w:ascii="黑体" w:hAnsi="宋体" w:eastAsia="黑体"/>
          <w:sz w:val="32"/>
          <w:szCs w:val="32"/>
        </w:rPr>
      </w:pPr>
      <w:r>
        <w:rPr>
          <w:rFonts w:hint="eastAsia" w:ascii="黑体" w:hAnsi="宋体" w:eastAsia="黑体"/>
          <w:sz w:val="32"/>
          <w:szCs w:val="32"/>
        </w:rPr>
        <w:t>第二部分 邓州市</w:t>
      </w:r>
      <w:r>
        <w:rPr>
          <w:rFonts w:hint="eastAsia" w:ascii="黑体" w:hAnsi="宋体" w:eastAsia="黑体"/>
          <w:sz w:val="32"/>
          <w:szCs w:val="32"/>
          <w:lang w:eastAsia="zh-CN"/>
        </w:rPr>
        <w:t>殡仪馆</w:t>
      </w:r>
      <w:r>
        <w:rPr>
          <w:rFonts w:hint="eastAsia" w:ascii="黑体" w:hAnsi="宋体" w:eastAsia="黑体"/>
          <w:sz w:val="32"/>
          <w:szCs w:val="32"/>
        </w:rPr>
        <w:t>2021年单位预算情况说明</w:t>
      </w:r>
    </w:p>
    <w:p>
      <w:pPr>
        <w:jc w:val="left"/>
        <w:rPr>
          <w:rFonts w:ascii="黑体" w:hAnsi="宋体" w:eastAsia="黑体"/>
          <w:sz w:val="32"/>
          <w:szCs w:val="32"/>
        </w:rPr>
      </w:pPr>
      <w:r>
        <w:rPr>
          <w:rFonts w:hint="eastAsia" w:ascii="黑体" w:hAnsi="宋体" w:eastAsia="黑体"/>
          <w:sz w:val="32"/>
          <w:szCs w:val="32"/>
        </w:rPr>
        <w:t>第三部分 名词解释</w:t>
      </w:r>
    </w:p>
    <w:p>
      <w:pPr>
        <w:rPr>
          <w:rFonts w:ascii="仿宋_GB2312" w:hAnsi="宋体" w:eastAsia="仿宋_GB2312"/>
          <w:sz w:val="32"/>
          <w:szCs w:val="32"/>
        </w:rPr>
      </w:pPr>
      <w:r>
        <w:rPr>
          <w:rFonts w:hint="eastAsia" w:ascii="黑体" w:hAnsi="宋体" w:eastAsia="黑体"/>
          <w:sz w:val="32"/>
          <w:szCs w:val="32"/>
        </w:rPr>
        <w:t>附件</w:t>
      </w:r>
      <w:r>
        <w:rPr>
          <w:rFonts w:hint="eastAsia" w:ascii="仿宋_GB2312" w:hAnsi="宋体" w:eastAsia="仿宋_GB2312"/>
          <w:sz w:val="32"/>
          <w:szCs w:val="32"/>
        </w:rPr>
        <w:t>：2021年度单位预算表</w:t>
      </w:r>
    </w:p>
    <w:p>
      <w:pPr>
        <w:ind w:firstLine="425" w:firstLineChars="133"/>
        <w:rPr>
          <w:rFonts w:ascii="仿宋_GB2312" w:hAnsi="宋体" w:eastAsia="仿宋_GB2312"/>
          <w:sz w:val="32"/>
          <w:szCs w:val="32"/>
        </w:rPr>
      </w:pPr>
      <w:r>
        <w:rPr>
          <w:rFonts w:hint="eastAsia" w:ascii="仿宋_GB2312" w:hAnsi="宋体" w:eastAsia="仿宋_GB2312"/>
          <w:sz w:val="32"/>
          <w:szCs w:val="32"/>
        </w:rPr>
        <w:t>一、单位收支总体情况表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二、单位收入总体情况表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三、单位支出总体情况表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四、财政拨款收支总体情况表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五、一般公共预算支出情况表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六、一般公共预算基本支出情况表</w:t>
      </w:r>
    </w:p>
    <w:p>
      <w:pPr>
        <w:ind w:firstLine="425" w:firstLineChars="133"/>
        <w:rPr>
          <w:rFonts w:ascii="仿宋_GB2312" w:hAnsi="宋体" w:eastAsia="仿宋_GB2312"/>
          <w:sz w:val="32"/>
          <w:szCs w:val="32"/>
        </w:rPr>
      </w:pPr>
      <w:r>
        <w:rPr>
          <w:rFonts w:hint="eastAsia" w:ascii="仿宋_GB2312" w:hAnsi="宋体" w:eastAsia="仿宋_GB2312"/>
          <w:sz w:val="32"/>
          <w:szCs w:val="32"/>
        </w:rPr>
        <w:t>七、一般公共预算“三公”经费支出情况表</w:t>
      </w:r>
    </w:p>
    <w:p>
      <w:pPr>
        <w:snapToGrid w:val="0"/>
        <w:spacing w:line="360" w:lineRule="auto"/>
        <w:ind w:firstLine="425" w:firstLineChars="133"/>
        <w:rPr>
          <w:rFonts w:ascii="仿宋_GB2312" w:hAnsi="宋体" w:eastAsia="仿宋_GB2312"/>
          <w:sz w:val="28"/>
          <w:szCs w:val="28"/>
        </w:rPr>
      </w:pPr>
      <w:r>
        <w:rPr>
          <w:rFonts w:hint="eastAsia" w:ascii="仿宋_GB2312" w:hAnsi="宋体" w:eastAsia="仿宋_GB2312"/>
          <w:sz w:val="32"/>
          <w:szCs w:val="32"/>
        </w:rPr>
        <w:t>八、政府性基金预算支出情况表</w:t>
      </w:r>
    </w:p>
    <w:p>
      <w:pPr>
        <w:snapToGrid w:val="0"/>
        <w:spacing w:line="360" w:lineRule="auto"/>
        <w:ind w:firstLine="425" w:firstLineChars="133"/>
        <w:rPr>
          <w:rFonts w:hint="eastAsia" w:ascii="仿宋_GB2312" w:hAnsi="宋体" w:eastAsia="仿宋_GB2312"/>
          <w:sz w:val="32"/>
          <w:szCs w:val="32"/>
        </w:rPr>
      </w:pPr>
      <w:r>
        <w:rPr>
          <w:rFonts w:hint="eastAsia" w:ascii="仿宋_GB2312" w:hAnsi="宋体" w:eastAsia="仿宋_GB2312"/>
          <w:sz w:val="32"/>
          <w:szCs w:val="32"/>
        </w:rPr>
        <w:t>九、支出经济分类汇总表</w:t>
      </w:r>
    </w:p>
    <w:p>
      <w:pPr>
        <w:snapToGrid w:val="0"/>
        <w:spacing w:line="360" w:lineRule="auto"/>
        <w:ind w:firstLine="372" w:firstLineChars="133"/>
        <w:rPr>
          <w:rFonts w:ascii="仿宋_GB2312" w:hAnsi="宋体" w:eastAsia="仿宋_GB2312"/>
          <w:sz w:val="28"/>
          <w:szCs w:val="28"/>
        </w:rPr>
      </w:pPr>
    </w:p>
    <w:p>
      <w:pPr>
        <w:ind w:firstLine="427" w:firstLineChars="133"/>
        <w:jc w:val="center"/>
        <w:rPr>
          <w:rFonts w:ascii="黑体" w:hAnsi="宋体" w:eastAsia="黑体"/>
          <w:sz w:val="32"/>
          <w:szCs w:val="32"/>
        </w:rPr>
      </w:pPr>
      <w:r>
        <w:rPr>
          <w:rFonts w:ascii="仿宋_GB2312" w:hAnsi="宋体" w:eastAsia="仿宋_GB2312"/>
          <w:b/>
          <w:sz w:val="32"/>
          <w:szCs w:val="32"/>
        </w:rPr>
        <w:br w:type="page"/>
      </w:r>
      <w:r>
        <w:rPr>
          <w:rFonts w:hint="eastAsia" w:ascii="黑体" w:hAnsi="宋体" w:eastAsia="黑体"/>
          <w:sz w:val="32"/>
          <w:szCs w:val="32"/>
        </w:rPr>
        <w:t>第一部分</w:t>
      </w:r>
    </w:p>
    <w:p>
      <w:pPr>
        <w:jc w:val="center"/>
        <w:rPr>
          <w:rFonts w:ascii="仿宋_GB2312" w:eastAsia="仿宋_GB2312"/>
          <w:b/>
          <w:sz w:val="32"/>
          <w:szCs w:val="32"/>
        </w:rPr>
      </w:pPr>
      <w:r>
        <w:rPr>
          <w:rFonts w:hint="eastAsia" w:ascii="黑体" w:hAnsi="宋体" w:eastAsia="黑体"/>
          <w:sz w:val="32"/>
          <w:szCs w:val="32"/>
        </w:rPr>
        <w:t>邓州市</w:t>
      </w:r>
      <w:r>
        <w:rPr>
          <w:rFonts w:hint="eastAsia" w:ascii="黑体" w:hAnsi="宋体" w:eastAsia="黑体"/>
          <w:sz w:val="32"/>
          <w:szCs w:val="32"/>
          <w:lang w:eastAsia="zh-CN"/>
        </w:rPr>
        <w:t>殡仪馆</w:t>
      </w:r>
      <w:r>
        <w:rPr>
          <w:rFonts w:hint="eastAsia" w:ascii="黑体" w:hAnsi="宋体" w:eastAsia="黑体"/>
          <w:sz w:val="32"/>
          <w:szCs w:val="32"/>
        </w:rPr>
        <w:t>概况</w:t>
      </w:r>
    </w:p>
    <w:p>
      <w:pPr>
        <w:ind w:firstLine="566" w:firstLineChars="177"/>
        <w:rPr>
          <w:rFonts w:ascii="黑体" w:eastAsia="黑体"/>
          <w:sz w:val="32"/>
          <w:szCs w:val="32"/>
        </w:rPr>
      </w:pPr>
      <w:r>
        <w:rPr>
          <w:rFonts w:hint="eastAsia" w:ascii="黑体" w:eastAsia="黑体"/>
          <w:sz w:val="32"/>
          <w:szCs w:val="32"/>
        </w:rPr>
        <w:t>一、主要职责</w:t>
      </w:r>
    </w:p>
    <w:p>
      <w:pPr>
        <w:ind w:firstLine="566" w:firstLineChars="177"/>
        <w:rPr>
          <w:rFonts w:ascii="仿宋_GB2312" w:eastAsia="仿宋_GB2312"/>
          <w:sz w:val="32"/>
          <w:szCs w:val="32"/>
        </w:rPr>
      </w:pPr>
      <w:r>
        <w:rPr>
          <w:rFonts w:hint="eastAsia" w:ascii="仿宋_GB2312" w:eastAsia="仿宋_GB2312"/>
          <w:sz w:val="32"/>
          <w:szCs w:val="32"/>
          <w:lang w:eastAsia="zh-CN"/>
        </w:rPr>
        <w:t>提供殡仪服务；遗体告别仪式办理；告别厅布置；殡葬音响服务；死亡人员的尸体火化。</w:t>
      </w:r>
    </w:p>
    <w:p>
      <w:pPr>
        <w:ind w:firstLine="566" w:firstLineChars="177"/>
        <w:rPr>
          <w:rFonts w:ascii="黑体" w:eastAsia="黑体"/>
          <w:sz w:val="32"/>
          <w:szCs w:val="32"/>
        </w:rPr>
      </w:pPr>
      <w:r>
        <w:rPr>
          <w:rFonts w:hint="eastAsia" w:ascii="黑体" w:eastAsia="黑体"/>
          <w:sz w:val="32"/>
          <w:szCs w:val="32"/>
        </w:rPr>
        <w:t>二、单位预算构成情况</w:t>
      </w:r>
    </w:p>
    <w:p>
      <w:pPr>
        <w:pStyle w:val="8"/>
        <w:spacing w:before="0" w:after="0" w:line="360" w:lineRule="auto"/>
        <w:ind w:firstLine="640" w:firstLineChars="200"/>
        <w:jc w:val="left"/>
        <w:rPr>
          <w:rFonts w:hint="eastAsia" w:ascii="黑体" w:hAnsi="宋体" w:eastAsia="黑体"/>
          <w:sz w:val="32"/>
          <w:szCs w:val="32"/>
        </w:rPr>
      </w:pPr>
      <w:r>
        <w:rPr>
          <w:rFonts w:hint="eastAsia" w:ascii="仿宋_GB2312" w:eastAsia="仿宋_GB2312"/>
          <w:sz w:val="32"/>
          <w:szCs w:val="32"/>
        </w:rPr>
        <w:t>邓州市</w:t>
      </w:r>
      <w:r>
        <w:rPr>
          <w:rFonts w:hint="eastAsia" w:ascii="仿宋_GB2312" w:eastAsia="仿宋_GB2312"/>
          <w:sz w:val="32"/>
          <w:szCs w:val="32"/>
          <w:lang w:eastAsia="zh-CN"/>
        </w:rPr>
        <w:t>殡仪馆</w:t>
      </w:r>
      <w:r>
        <w:rPr>
          <w:rFonts w:hint="eastAsia" w:ascii="仿宋_GB2312" w:eastAsia="仿宋_GB2312"/>
          <w:sz w:val="32"/>
          <w:szCs w:val="32"/>
        </w:rPr>
        <w:t>单位预算包括：</w:t>
      </w:r>
      <w:r>
        <w:rPr>
          <w:rFonts w:hint="eastAsia" w:ascii="仿宋_GB2312" w:eastAsia="仿宋_GB2312"/>
          <w:sz w:val="32"/>
          <w:szCs w:val="32"/>
          <w:lang w:eastAsia="zh-CN"/>
        </w:rPr>
        <w:t>火化车间、运输队、殡仪服务中心、收费处、财务室、办公室</w:t>
      </w:r>
      <w:r>
        <w:rPr>
          <w:rFonts w:hint="eastAsia" w:ascii="仿宋_GB2312" w:eastAsia="仿宋_GB2312"/>
          <w:sz w:val="32"/>
          <w:szCs w:val="32"/>
        </w:rPr>
        <w:t>的预算。</w:t>
      </w:r>
    </w:p>
    <w:p>
      <w:pPr>
        <w:jc w:val="center"/>
        <w:rPr>
          <w:rFonts w:ascii="黑体" w:hAnsi="宋体" w:eastAsia="黑体"/>
          <w:sz w:val="32"/>
          <w:szCs w:val="32"/>
        </w:rPr>
      </w:pPr>
      <w:r>
        <w:rPr>
          <w:rFonts w:hint="eastAsia" w:ascii="黑体" w:hAnsi="宋体" w:eastAsia="黑体"/>
          <w:sz w:val="32"/>
          <w:szCs w:val="32"/>
        </w:rPr>
        <w:t>第二部分</w:t>
      </w:r>
    </w:p>
    <w:p>
      <w:pPr>
        <w:jc w:val="center"/>
        <w:rPr>
          <w:rFonts w:ascii="黑体" w:hAnsi="宋体" w:eastAsia="黑体"/>
          <w:sz w:val="32"/>
          <w:szCs w:val="32"/>
        </w:rPr>
      </w:pPr>
      <w:r>
        <w:rPr>
          <w:rFonts w:hint="eastAsia" w:ascii="黑体" w:hAnsi="宋体" w:eastAsia="黑体"/>
          <w:sz w:val="32"/>
          <w:szCs w:val="32"/>
        </w:rPr>
        <w:t>邓州市</w:t>
      </w:r>
      <w:r>
        <w:rPr>
          <w:rFonts w:hint="eastAsia" w:ascii="黑体" w:hAnsi="宋体" w:eastAsia="黑体"/>
          <w:sz w:val="32"/>
          <w:szCs w:val="32"/>
          <w:lang w:eastAsia="zh-CN"/>
        </w:rPr>
        <w:t>殡仪馆</w:t>
      </w:r>
      <w:r>
        <w:rPr>
          <w:rFonts w:hint="eastAsia" w:ascii="黑体" w:hAnsi="宋体" w:eastAsia="黑体"/>
          <w:sz w:val="32"/>
          <w:szCs w:val="32"/>
        </w:rPr>
        <w:t>2021年单位预算情况说明</w:t>
      </w:r>
    </w:p>
    <w:p>
      <w:pPr>
        <w:spacing w:beforeLines="100"/>
        <w:ind w:firstLine="709"/>
        <w:rPr>
          <w:rFonts w:ascii="黑体" w:eastAsia="黑体"/>
          <w:sz w:val="32"/>
          <w:szCs w:val="32"/>
        </w:rPr>
      </w:pPr>
      <w:r>
        <w:rPr>
          <w:rFonts w:hint="eastAsia" w:ascii="黑体" w:eastAsia="黑体"/>
          <w:sz w:val="32"/>
          <w:szCs w:val="32"/>
        </w:rPr>
        <w:t>一、收入支出预算总体情况说明</w:t>
      </w:r>
    </w:p>
    <w:p>
      <w:pPr>
        <w:rPr>
          <w:rFonts w:ascii="仿宋_GB2312" w:eastAsia="仿宋_GB2312"/>
          <w:color w:val="0000FF"/>
          <w:sz w:val="32"/>
          <w:szCs w:val="32"/>
        </w:rPr>
      </w:pPr>
      <w:r>
        <w:rPr>
          <w:rFonts w:hint="eastAsia" w:ascii="仿宋_GB2312" w:eastAsia="仿宋_GB2312"/>
          <w:sz w:val="32"/>
          <w:szCs w:val="32"/>
        </w:rPr>
        <w:t>2021年收入总计</w:t>
      </w:r>
      <w:r>
        <w:rPr>
          <w:rFonts w:hint="eastAsia" w:ascii="仿宋_GB2312" w:eastAsia="仿宋_GB2312"/>
          <w:sz w:val="32"/>
          <w:szCs w:val="32"/>
          <w:lang w:val="en-US" w:eastAsia="zh-CN"/>
        </w:rPr>
        <w:t>285.2</w:t>
      </w:r>
      <w:r>
        <w:rPr>
          <w:rFonts w:hint="eastAsia" w:ascii="仿宋_GB2312" w:eastAsia="仿宋_GB2312"/>
          <w:sz w:val="32"/>
          <w:szCs w:val="32"/>
        </w:rPr>
        <w:t>万元，支出总计</w:t>
      </w:r>
      <w:r>
        <w:rPr>
          <w:rFonts w:hint="eastAsia" w:ascii="仿宋_GB2312" w:eastAsia="仿宋_GB2312"/>
          <w:sz w:val="32"/>
          <w:szCs w:val="32"/>
          <w:lang w:val="en-US" w:eastAsia="zh-CN"/>
        </w:rPr>
        <w:t>285.2</w:t>
      </w:r>
      <w:r>
        <w:rPr>
          <w:rFonts w:hint="eastAsia" w:ascii="仿宋_GB2312" w:eastAsia="仿宋_GB2312"/>
          <w:sz w:val="32"/>
          <w:szCs w:val="32"/>
        </w:rPr>
        <w:t>万元，与2020年相比，收入、支出各</w:t>
      </w:r>
      <w:r>
        <w:rPr>
          <w:rFonts w:hint="eastAsia" w:ascii="仿宋_GB2312" w:eastAsia="仿宋_GB2312"/>
          <w:color w:val="000000"/>
          <w:sz w:val="32"/>
          <w:szCs w:val="32"/>
          <w:highlight w:val="none"/>
        </w:rPr>
        <w:t>降低</w:t>
      </w:r>
      <w:r>
        <w:rPr>
          <w:rFonts w:hint="eastAsia" w:ascii="仿宋_GB2312" w:eastAsia="仿宋_GB2312"/>
          <w:sz w:val="32"/>
          <w:szCs w:val="32"/>
          <w:lang w:val="en-US" w:eastAsia="zh-CN"/>
        </w:rPr>
        <w:t>20</w:t>
      </w:r>
      <w:r>
        <w:rPr>
          <w:rFonts w:hint="eastAsia" w:ascii="仿宋_GB2312" w:eastAsia="仿宋_GB2312"/>
          <w:sz w:val="32"/>
          <w:szCs w:val="32"/>
        </w:rPr>
        <w:t>万元。主要原因是：</w:t>
      </w:r>
      <w:r>
        <w:rPr>
          <w:rFonts w:hint="eastAsia" w:ascii="仿宋_GB2312" w:eastAsia="仿宋_GB2312"/>
          <w:sz w:val="32"/>
          <w:szCs w:val="32"/>
          <w:lang w:eastAsia="zh-CN"/>
        </w:rPr>
        <w:t>尸体火化量减少。</w:t>
      </w:r>
    </w:p>
    <w:p>
      <w:pPr>
        <w:ind w:firstLine="567"/>
        <w:rPr>
          <w:rFonts w:ascii="黑体" w:eastAsia="黑体"/>
          <w:sz w:val="32"/>
          <w:szCs w:val="32"/>
        </w:rPr>
      </w:pPr>
      <w:r>
        <w:rPr>
          <w:rFonts w:hint="eastAsia" w:ascii="黑体" w:eastAsia="黑体"/>
          <w:sz w:val="32"/>
          <w:szCs w:val="32"/>
        </w:rPr>
        <w:t>二、收入预算总体情况说明</w:t>
      </w:r>
    </w:p>
    <w:p>
      <w:pPr>
        <w:ind w:firstLine="707" w:firstLineChars="221"/>
        <w:rPr>
          <w:rFonts w:hint="eastAsia" w:ascii="仿宋_GB2312" w:eastAsia="仿宋_GB2312"/>
          <w:sz w:val="32"/>
          <w:szCs w:val="32"/>
          <w:lang w:eastAsia="zh-CN"/>
        </w:rPr>
      </w:pPr>
      <w:r>
        <w:rPr>
          <w:rFonts w:hint="eastAsia" w:ascii="仿宋_GB2312" w:eastAsia="仿宋_GB2312"/>
          <w:sz w:val="32"/>
          <w:szCs w:val="32"/>
        </w:rPr>
        <w:t>2021年收入预算</w:t>
      </w:r>
      <w:r>
        <w:rPr>
          <w:rFonts w:hint="eastAsia" w:ascii="仿宋_GB2312" w:eastAsia="仿宋_GB2312"/>
          <w:sz w:val="32"/>
          <w:szCs w:val="32"/>
          <w:lang w:val="en-US" w:eastAsia="zh-CN"/>
        </w:rPr>
        <w:t>285.2</w:t>
      </w:r>
      <w:r>
        <w:rPr>
          <w:rFonts w:hint="eastAsia" w:ascii="仿宋_GB2312" w:eastAsia="仿宋_GB2312"/>
          <w:sz w:val="32"/>
          <w:szCs w:val="32"/>
        </w:rPr>
        <w:t>万元，其中：</w:t>
      </w:r>
      <w:r>
        <w:rPr>
          <w:rFonts w:hint="eastAsia" w:eastAsia="仿宋_GB2312"/>
          <w:sz w:val="32"/>
          <w:szCs w:val="32"/>
        </w:rPr>
        <w:t>一般公共预算收入</w:t>
      </w:r>
      <w:r>
        <w:rPr>
          <w:rFonts w:hint="eastAsia" w:ascii="仿宋_GB2312" w:eastAsia="仿宋_GB2312"/>
          <w:sz w:val="32"/>
          <w:szCs w:val="32"/>
          <w:lang w:val="en-US" w:eastAsia="zh-CN"/>
        </w:rPr>
        <w:t>285.2</w:t>
      </w:r>
      <w:r>
        <w:rPr>
          <w:rFonts w:hint="eastAsia" w:ascii="仿宋_GB2312" w:eastAsia="仿宋_GB2312"/>
          <w:sz w:val="32"/>
          <w:szCs w:val="32"/>
        </w:rPr>
        <w:t>万元，政府性基金收入</w:t>
      </w:r>
      <w:r>
        <w:rPr>
          <w:rFonts w:hint="eastAsia" w:ascii="仿宋_GB2312" w:eastAsia="仿宋_GB2312"/>
          <w:sz w:val="32"/>
          <w:szCs w:val="32"/>
          <w:lang w:val="en-US" w:eastAsia="zh-CN"/>
        </w:rPr>
        <w:t>0</w:t>
      </w:r>
      <w:r>
        <w:rPr>
          <w:rFonts w:hint="eastAsia" w:ascii="仿宋_GB2312" w:eastAsia="仿宋_GB2312"/>
          <w:sz w:val="32"/>
          <w:szCs w:val="32"/>
        </w:rPr>
        <w:t>万元，国有资本经营预算收入</w:t>
      </w:r>
      <w:r>
        <w:rPr>
          <w:rFonts w:hint="eastAsia" w:ascii="仿宋_GB2312" w:eastAsia="仿宋_GB2312"/>
          <w:sz w:val="32"/>
          <w:szCs w:val="32"/>
          <w:lang w:val="en-US" w:eastAsia="zh-CN"/>
        </w:rPr>
        <w:t>0</w:t>
      </w:r>
      <w:r>
        <w:rPr>
          <w:rFonts w:hint="eastAsia" w:ascii="仿宋_GB2312" w:eastAsia="仿宋_GB2312"/>
          <w:sz w:val="32"/>
          <w:szCs w:val="32"/>
        </w:rPr>
        <w:t>万元，财政专户管理资金收入</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eastAsia="zh-CN"/>
        </w:rPr>
        <w:t>。</w:t>
      </w:r>
    </w:p>
    <w:p>
      <w:pPr>
        <w:ind w:firstLine="709"/>
        <w:rPr>
          <w:rFonts w:ascii="黑体" w:eastAsia="黑体"/>
          <w:sz w:val="32"/>
          <w:szCs w:val="32"/>
        </w:rPr>
      </w:pPr>
      <w:r>
        <w:rPr>
          <w:rFonts w:hint="eastAsia" w:ascii="黑体" w:eastAsia="黑体"/>
          <w:sz w:val="32"/>
          <w:szCs w:val="32"/>
        </w:rPr>
        <w:t>三、支出预算总体情况说明</w:t>
      </w:r>
    </w:p>
    <w:p>
      <w:pPr>
        <w:ind w:firstLine="709"/>
        <w:rPr>
          <w:rFonts w:ascii="仿宋_GB2312" w:eastAsia="仿宋_GB2312"/>
          <w:sz w:val="32"/>
          <w:szCs w:val="32"/>
        </w:rPr>
      </w:pPr>
      <w:r>
        <w:rPr>
          <w:rFonts w:hint="eastAsia" w:ascii="仿宋_GB2312" w:eastAsia="仿宋_GB2312"/>
          <w:sz w:val="32"/>
          <w:szCs w:val="32"/>
        </w:rPr>
        <w:t>2021年支出预算</w:t>
      </w:r>
      <w:r>
        <w:rPr>
          <w:rFonts w:hint="eastAsia" w:ascii="仿宋_GB2312" w:eastAsia="仿宋_GB2312"/>
          <w:sz w:val="32"/>
          <w:szCs w:val="32"/>
          <w:lang w:val="en-US" w:eastAsia="zh-CN"/>
        </w:rPr>
        <w:t>285.2</w:t>
      </w:r>
      <w:r>
        <w:rPr>
          <w:rFonts w:hint="eastAsia" w:ascii="仿宋_GB2312" w:eastAsia="仿宋_GB2312"/>
          <w:sz w:val="32"/>
          <w:szCs w:val="32"/>
        </w:rPr>
        <w:t>万元，其中：基本支出</w:t>
      </w:r>
      <w:r>
        <w:rPr>
          <w:rFonts w:hint="eastAsia" w:ascii="仿宋_GB2312" w:eastAsia="仿宋_GB2312"/>
          <w:sz w:val="32"/>
          <w:szCs w:val="32"/>
          <w:lang w:val="en-US" w:eastAsia="zh-CN"/>
        </w:rPr>
        <w:t>5.2</w:t>
      </w:r>
      <w:r>
        <w:rPr>
          <w:rFonts w:hint="eastAsia" w:ascii="仿宋_GB2312" w:eastAsia="仿宋_GB2312"/>
          <w:sz w:val="32"/>
          <w:szCs w:val="32"/>
        </w:rPr>
        <w:t>万元，占年度计划的</w:t>
      </w:r>
      <w:r>
        <w:rPr>
          <w:rFonts w:hint="eastAsia" w:ascii="仿宋_GB2312" w:eastAsia="仿宋_GB2312"/>
          <w:sz w:val="32"/>
          <w:szCs w:val="32"/>
          <w:lang w:val="en-US" w:eastAsia="zh-CN"/>
        </w:rPr>
        <w:t>1.82</w:t>
      </w:r>
      <w:r>
        <w:rPr>
          <w:rFonts w:hint="eastAsia" w:ascii="仿宋_GB2312" w:eastAsia="仿宋_GB2312"/>
          <w:sz w:val="32"/>
          <w:szCs w:val="32"/>
        </w:rPr>
        <w:t xml:space="preserve"> %；项目支出</w:t>
      </w:r>
      <w:r>
        <w:rPr>
          <w:rFonts w:hint="eastAsia" w:ascii="仿宋_GB2312" w:eastAsia="仿宋_GB2312"/>
          <w:sz w:val="32"/>
          <w:szCs w:val="32"/>
          <w:lang w:val="en-US" w:eastAsia="zh-CN"/>
        </w:rPr>
        <w:t>280</w:t>
      </w:r>
      <w:r>
        <w:rPr>
          <w:rFonts w:hint="eastAsia" w:ascii="仿宋_GB2312" w:eastAsia="仿宋_GB2312"/>
          <w:sz w:val="32"/>
          <w:szCs w:val="32"/>
        </w:rPr>
        <w:t>万元，占年度计划的</w:t>
      </w:r>
      <w:r>
        <w:rPr>
          <w:rFonts w:hint="eastAsia" w:ascii="仿宋_GB2312" w:eastAsia="仿宋_GB2312"/>
          <w:sz w:val="32"/>
          <w:szCs w:val="32"/>
          <w:lang w:val="en-US" w:eastAsia="zh-CN"/>
        </w:rPr>
        <w:t>98.18</w:t>
      </w:r>
      <w:r>
        <w:rPr>
          <w:rFonts w:hint="eastAsia" w:ascii="仿宋_GB2312" w:eastAsia="仿宋_GB2312"/>
          <w:sz w:val="32"/>
          <w:szCs w:val="32"/>
        </w:rPr>
        <w:t xml:space="preserve">%。 </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四、财政拨款收支预算总体情况说明</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t>2021年一般公共预算收支预算</w:t>
      </w:r>
      <w:r>
        <w:rPr>
          <w:rFonts w:hint="eastAsia" w:ascii="仿宋_GB2312" w:eastAsia="仿宋_GB2312"/>
          <w:sz w:val="32"/>
          <w:szCs w:val="32"/>
          <w:lang w:val="en-US" w:eastAsia="zh-CN"/>
        </w:rPr>
        <w:t>285.2</w:t>
      </w:r>
      <w:r>
        <w:rPr>
          <w:rFonts w:hint="eastAsia" w:ascii="仿宋_GB2312" w:eastAsia="仿宋_GB2312"/>
          <w:sz w:val="32"/>
          <w:szCs w:val="32"/>
        </w:rPr>
        <w:t>万元，政府性基金收支预算</w:t>
      </w:r>
      <w:r>
        <w:rPr>
          <w:rFonts w:hint="eastAsia" w:ascii="仿宋_GB2312" w:eastAsia="仿宋_GB2312"/>
          <w:sz w:val="32"/>
          <w:szCs w:val="32"/>
          <w:lang w:val="en-US" w:eastAsia="zh-CN"/>
        </w:rPr>
        <w:t>0</w:t>
      </w:r>
      <w:r>
        <w:rPr>
          <w:rFonts w:hint="eastAsia" w:ascii="仿宋_GB2312" w:eastAsia="仿宋_GB2312"/>
          <w:sz w:val="32"/>
          <w:szCs w:val="32"/>
        </w:rPr>
        <w:t>万元，国有资本经营收支预算</w:t>
      </w:r>
      <w:r>
        <w:rPr>
          <w:rFonts w:hint="eastAsia" w:ascii="仿宋_GB2312" w:eastAsia="仿宋_GB2312"/>
          <w:sz w:val="32"/>
          <w:szCs w:val="32"/>
          <w:lang w:val="en-US" w:eastAsia="zh-CN"/>
        </w:rPr>
        <w:t>0</w:t>
      </w:r>
      <w:r>
        <w:rPr>
          <w:rFonts w:hint="eastAsia" w:ascii="仿宋_GB2312" w:eastAsia="仿宋_GB2312"/>
          <w:sz w:val="32"/>
          <w:szCs w:val="32"/>
        </w:rPr>
        <w:t>万元，与2020年相比，收入支出</w:t>
      </w:r>
      <w:r>
        <w:rPr>
          <w:rFonts w:hint="eastAsia" w:ascii="仿宋_GB2312" w:eastAsia="仿宋_GB2312"/>
          <w:color w:val="000000"/>
          <w:sz w:val="32"/>
          <w:szCs w:val="32"/>
          <w:highlight w:val="none"/>
        </w:rPr>
        <w:t>减少</w:t>
      </w:r>
      <w:r>
        <w:rPr>
          <w:rFonts w:hint="eastAsia" w:ascii="仿宋_GB2312" w:eastAsia="仿宋_GB2312"/>
          <w:sz w:val="32"/>
          <w:szCs w:val="32"/>
          <w:lang w:val="en-US" w:eastAsia="zh-CN"/>
        </w:rPr>
        <w:t>20</w:t>
      </w:r>
      <w:r>
        <w:rPr>
          <w:rFonts w:hint="eastAsia" w:ascii="仿宋_GB2312" w:eastAsia="仿宋_GB2312"/>
          <w:sz w:val="32"/>
          <w:szCs w:val="32"/>
        </w:rPr>
        <w:t>万元。主要原因是</w:t>
      </w:r>
      <w:r>
        <w:rPr>
          <w:rFonts w:hint="eastAsia" w:ascii="仿宋_GB2312" w:eastAsia="仿宋_GB2312"/>
          <w:sz w:val="32"/>
          <w:szCs w:val="32"/>
          <w:lang w:eastAsia="zh-CN"/>
        </w:rPr>
        <w:t>：尸体火化量减少。</w:t>
      </w:r>
    </w:p>
    <w:p>
      <w:pPr>
        <w:ind w:firstLine="640" w:firstLineChars="200"/>
        <w:rPr>
          <w:rFonts w:ascii="仿宋_GB2312" w:hAnsi="Times New Roman" w:eastAsia="仿宋_GB2312" w:cs="Times New Roman"/>
          <w:sz w:val="32"/>
          <w:szCs w:val="32"/>
        </w:rPr>
      </w:pPr>
      <w:r>
        <w:rPr>
          <w:rFonts w:hint="eastAsia" w:ascii="黑体" w:hAnsi="黑体" w:eastAsia="黑体" w:cs="Times New Roman"/>
          <w:sz w:val="32"/>
          <w:szCs w:val="32"/>
        </w:rPr>
        <w:t>五、一般公共预算支出预算情况说明</w:t>
      </w:r>
    </w:p>
    <w:p>
      <w:pPr>
        <w:ind w:firstLine="70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2021</w:t>
      </w:r>
      <w:r>
        <w:rPr>
          <w:rFonts w:ascii="Times New Roman" w:hAnsi="Times New Roman" w:eastAsia="仿宋_GB2312" w:cs="Times New Roman"/>
          <w:sz w:val="32"/>
          <w:szCs w:val="32"/>
        </w:rPr>
        <w:t>年一般公共预算支出年初预算为</w:t>
      </w:r>
      <w:r>
        <w:rPr>
          <w:rFonts w:hint="eastAsia" w:ascii="Times New Roman" w:hAnsi="Times New Roman" w:eastAsia="仿宋_GB2312" w:cs="Times New Roman"/>
          <w:sz w:val="32"/>
          <w:szCs w:val="32"/>
          <w:lang w:val="en-US" w:eastAsia="zh-CN"/>
        </w:rPr>
        <w:t>:285.2</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rPr>
        <w:t>其中</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基本支出</w:t>
      </w:r>
      <w:r>
        <w:rPr>
          <w:rFonts w:hint="eastAsia" w:ascii="Times New Roman" w:hAnsi="Times New Roman" w:eastAsia="仿宋_GB2312" w:cs="Times New Roman"/>
          <w:sz w:val="32"/>
          <w:szCs w:val="32"/>
          <w:lang w:val="en-US" w:eastAsia="zh-CN"/>
        </w:rPr>
        <w:t>5.2</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1.82</w:t>
      </w:r>
      <w:r>
        <w:rPr>
          <w:rFonts w:hint="eastAsia" w:ascii="Times New Roman" w:hAnsi="Times New Roman" w:eastAsia="仿宋_GB2312" w:cs="Times New Roman"/>
          <w:sz w:val="32"/>
          <w:szCs w:val="32"/>
        </w:rPr>
        <w:t>%；项目支出</w:t>
      </w:r>
      <w:r>
        <w:rPr>
          <w:rFonts w:hint="eastAsia" w:ascii="Times New Roman" w:hAnsi="Times New Roman" w:eastAsia="仿宋_GB2312" w:cs="Times New Roman"/>
          <w:sz w:val="32"/>
          <w:szCs w:val="32"/>
          <w:lang w:val="en-US" w:eastAsia="zh-CN"/>
        </w:rPr>
        <w:t>280</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98.18</w:t>
      </w:r>
      <w:r>
        <w:rPr>
          <w:rFonts w:hint="eastAsia" w:ascii="Times New Roman" w:hAnsi="Times New Roman" w:eastAsia="仿宋_GB2312" w:cs="Times New Roman"/>
          <w:sz w:val="32"/>
          <w:szCs w:val="32"/>
        </w:rPr>
        <w:t>%。</w:t>
      </w:r>
    </w:p>
    <w:p>
      <w:pPr>
        <w:ind w:firstLine="640" w:firstLineChars="200"/>
        <w:rPr>
          <w:rFonts w:hint="eastAsia" w:ascii="黑体" w:hAnsi="黑体" w:eastAsia="黑体" w:cs="Times New Roman"/>
          <w:sz w:val="32"/>
          <w:szCs w:val="32"/>
        </w:rPr>
      </w:pPr>
      <w:r>
        <w:rPr>
          <w:rFonts w:hint="eastAsia" w:ascii="黑体" w:hAnsi="黑体" w:eastAsia="黑体" w:cs="Times New Roman"/>
          <w:sz w:val="32"/>
          <w:szCs w:val="32"/>
          <w:lang w:eastAsia="zh-CN"/>
        </w:rPr>
        <w:t>六、</w:t>
      </w:r>
      <w:r>
        <w:rPr>
          <w:rFonts w:hint="eastAsia" w:ascii="黑体" w:hAnsi="黑体" w:eastAsia="黑体" w:cs="Times New Roman"/>
          <w:sz w:val="32"/>
          <w:szCs w:val="32"/>
        </w:rPr>
        <w:t>一般公共预算基本支出预算情况说明</w:t>
      </w:r>
    </w:p>
    <w:p>
      <w:pPr>
        <w:ind w:firstLine="70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2021</w:t>
      </w:r>
      <w:r>
        <w:rPr>
          <w:rFonts w:ascii="Times New Roman" w:hAnsi="Times New Roman" w:eastAsia="仿宋_GB2312" w:cs="Times New Roman"/>
          <w:sz w:val="32"/>
          <w:szCs w:val="32"/>
        </w:rPr>
        <w:t>年一般公共预算</w:t>
      </w:r>
      <w:r>
        <w:rPr>
          <w:rFonts w:hint="eastAsia" w:ascii="Times New Roman" w:hAnsi="Times New Roman" w:eastAsia="仿宋_GB2312" w:cs="Times New Roman"/>
          <w:sz w:val="32"/>
          <w:szCs w:val="32"/>
        </w:rPr>
        <w:t>基本支出</w:t>
      </w: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5.2</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rPr>
        <w:t>其中</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人员经费支出</w:t>
      </w:r>
      <w:r>
        <w:rPr>
          <w:rFonts w:hint="eastAsia" w:ascii="Times New Roman" w:hAnsi="Times New Roman" w:eastAsia="仿宋_GB2312" w:cs="Times New Roman"/>
          <w:sz w:val="32"/>
          <w:szCs w:val="32"/>
          <w:lang w:val="en-US" w:eastAsia="zh-CN"/>
        </w:rPr>
        <w:t>5.2</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100</w:t>
      </w:r>
      <w:r>
        <w:rPr>
          <w:rFonts w:hint="eastAsia" w:ascii="Times New Roman" w:hAnsi="Times New Roman" w:eastAsia="仿宋_GB2312" w:cs="Times New Roman"/>
          <w:sz w:val="32"/>
          <w:szCs w:val="32"/>
        </w:rPr>
        <w:t>%；公用经费支出</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万元，占</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w:t>
      </w:r>
    </w:p>
    <w:p>
      <w:pPr>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七、支出预算经济分类情况说明</w:t>
      </w:r>
    </w:p>
    <w:p>
      <w:pPr>
        <w:ind w:firstLine="709"/>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按照《财政部关于印发</w:t>
      </w:r>
      <w:r>
        <w:rPr>
          <w:rFonts w:ascii="Times New Roman" w:hAnsi="Times New Roman" w:eastAsia="仿宋_GB2312" w:cs="Times New Roman"/>
          <w:sz w:val="32"/>
          <w:szCs w:val="32"/>
        </w:rPr>
        <w:t>&lt;</w:t>
      </w:r>
      <w:r>
        <w:rPr>
          <w:rFonts w:hint="eastAsia" w:ascii="Times New Roman" w:hAnsi="Times New Roman" w:eastAsia="仿宋_GB2312" w:cs="仿宋_GB2312"/>
          <w:sz w:val="32"/>
          <w:szCs w:val="32"/>
        </w:rPr>
        <w:t>支出经济分类科目改革方案</w:t>
      </w:r>
      <w:r>
        <w:rPr>
          <w:rFonts w:ascii="Times New Roman" w:hAnsi="Times New Roman" w:eastAsia="仿宋_GB2312" w:cs="Times New Roman"/>
          <w:sz w:val="32"/>
          <w:szCs w:val="32"/>
        </w:rPr>
        <w:t>&gt;</w:t>
      </w:r>
      <w:r>
        <w:rPr>
          <w:rFonts w:hint="eastAsia" w:ascii="Times New Roman" w:hAnsi="Times New Roman" w:eastAsia="仿宋_GB2312" w:cs="仿宋_GB2312"/>
          <w:sz w:val="32"/>
          <w:szCs w:val="32"/>
        </w:rPr>
        <w:t>的通知》（财预〔</w:t>
      </w:r>
      <w:r>
        <w:rPr>
          <w:rFonts w:ascii="Times New Roman" w:hAnsi="Times New Roman" w:eastAsia="仿宋_GB2312" w:cs="Times New Roman"/>
          <w:sz w:val="32"/>
          <w:szCs w:val="32"/>
        </w:rPr>
        <w:t>2017</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98</w:t>
      </w:r>
      <w:r>
        <w:rPr>
          <w:rFonts w:hint="eastAsia" w:ascii="Times New Roman" w:hAnsi="Times New Roman" w:eastAsia="仿宋_GB2312" w:cs="仿宋_GB2312"/>
          <w:sz w:val="32"/>
          <w:szCs w:val="32"/>
        </w:rPr>
        <w:t>号）要求，从</w:t>
      </w:r>
      <w:r>
        <w:rPr>
          <w:rFonts w:ascii="Times New Roman" w:hAnsi="Times New Roman" w:eastAsia="仿宋_GB2312" w:cs="Times New Roman"/>
          <w:sz w:val="32"/>
          <w:szCs w:val="32"/>
        </w:rPr>
        <w:t>2018</w:t>
      </w:r>
      <w:r>
        <w:rPr>
          <w:rFonts w:hint="eastAsia" w:ascii="Times New Roman" w:hAnsi="Times New Roman" w:eastAsia="仿宋_GB2312" w:cs="仿宋_GB2312"/>
          <w:sz w:val="32"/>
          <w:szCs w:val="32"/>
        </w:rPr>
        <w:t>年起全面实施支出经济分类科目改革，根据政府预算管理和部门预算管理的不同特点，分设部门预算支出经济分类科目和政府预算支出经济分类科目，两套科目之间保持对应关系。我单位《支出经济分类汇总表》</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按两套经济分类科目分别反映不同资金来源的全部预算支出。</w:t>
      </w:r>
    </w:p>
    <w:p>
      <w:pPr>
        <w:ind w:firstLine="640" w:firstLineChars="200"/>
        <w:rPr>
          <w:rFonts w:hint="eastAsia" w:ascii="黑体" w:hAnsi="黑体" w:eastAsia="黑体" w:cs="Times New Roman"/>
          <w:sz w:val="32"/>
          <w:szCs w:val="32"/>
        </w:rPr>
      </w:pPr>
      <w:r>
        <w:rPr>
          <w:rFonts w:hint="eastAsia" w:ascii="黑体" w:hAnsi="黑体" w:eastAsia="黑体" w:cs="Times New Roman"/>
          <w:sz w:val="32"/>
          <w:szCs w:val="32"/>
        </w:rPr>
        <w:t>八、一般公共预算“三公”经费支出预算情况说明</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2021年“三公”经费预算为0万元。比2020年减少0万元。</w:t>
      </w:r>
    </w:p>
    <w:p>
      <w:pPr>
        <w:kinsoku w:val="0"/>
        <w:overflowPunct w:val="0"/>
        <w:autoSpaceDE w:val="0"/>
        <w:autoSpaceDN w:val="0"/>
        <w:spacing w:line="600" w:lineRule="exact"/>
        <w:ind w:firstLine="643" w:firstLineChars="200"/>
        <w:rPr>
          <w:rFonts w:ascii="Times New Roman" w:hAnsi="Times New Roman" w:eastAsia="仿宋_GB2312" w:cs="Times New Roman"/>
          <w:sz w:val="32"/>
          <w:szCs w:val="32"/>
        </w:rPr>
      </w:pPr>
      <w:r>
        <w:rPr>
          <w:rFonts w:hint="eastAsia" w:ascii="仿宋_GB2312" w:eastAsia="仿宋_GB2312"/>
          <w:b/>
          <w:bCs/>
          <w:sz w:val="32"/>
          <w:szCs w:val="32"/>
        </w:rPr>
        <w:t>因公出国（境）费0万元</w:t>
      </w:r>
      <w:r>
        <w:rPr>
          <w:rFonts w:hint="eastAsia" w:ascii="仿宋_GB2312" w:eastAsia="仿宋_GB2312"/>
          <w:sz w:val="32"/>
          <w:szCs w:val="32"/>
        </w:rPr>
        <w:t>，</w:t>
      </w:r>
      <w:r>
        <w:rPr>
          <w:rFonts w:hint="eastAsia" w:ascii="Times New Roman" w:hAnsi="Times New Roman" w:eastAsia="仿宋_GB2312" w:cs="仿宋_GB2312"/>
          <w:sz w:val="32"/>
          <w:szCs w:val="32"/>
        </w:rPr>
        <w:t>主要用于单位工作人员公务出国（境）的住宿费、差旅费、伙食补助费、杂费、培训费等支出。预算数比</w:t>
      </w:r>
      <w:r>
        <w:rPr>
          <w:rFonts w:hint="eastAsia" w:ascii="Times New Roman" w:hAnsi="Times New Roman" w:eastAsia="仿宋_GB2312" w:cs="Times New Roman"/>
          <w:sz w:val="32"/>
          <w:szCs w:val="32"/>
        </w:rPr>
        <w:t>2020</w:t>
      </w:r>
      <w:r>
        <w:rPr>
          <w:rFonts w:hint="eastAsia" w:ascii="Times New Roman" w:hAnsi="Times New Roman" w:eastAsia="仿宋_GB2312" w:cs="仿宋_GB2312"/>
          <w:sz w:val="32"/>
          <w:szCs w:val="32"/>
        </w:rPr>
        <w:t>年保持一致。</w:t>
      </w:r>
    </w:p>
    <w:p>
      <w:pPr>
        <w:ind w:left="19" w:leftChars="9" w:firstLine="623" w:firstLineChars="194"/>
        <w:rPr>
          <w:rFonts w:ascii="仿宋_GB2312" w:eastAsia="仿宋_GB2312"/>
          <w:sz w:val="32"/>
          <w:szCs w:val="32"/>
        </w:rPr>
      </w:pPr>
      <w:r>
        <w:rPr>
          <w:rFonts w:hint="eastAsia" w:ascii="仿宋_GB2312" w:eastAsia="仿宋_GB2312"/>
          <w:b/>
          <w:bCs/>
          <w:sz w:val="32"/>
          <w:szCs w:val="32"/>
        </w:rPr>
        <w:t>公务用车购置费及维护费</w:t>
      </w:r>
      <w:r>
        <w:rPr>
          <w:rFonts w:hint="eastAsia" w:ascii="仿宋_GB2312" w:eastAsia="仿宋_GB2312"/>
          <w:b/>
          <w:bCs/>
          <w:sz w:val="32"/>
          <w:szCs w:val="32"/>
          <w:lang w:val="en-US" w:eastAsia="zh-CN"/>
        </w:rPr>
        <w:t>0</w:t>
      </w:r>
      <w:r>
        <w:rPr>
          <w:rFonts w:hint="eastAsia" w:ascii="仿宋_GB2312" w:eastAsia="仿宋_GB2312"/>
          <w:b/>
          <w:bCs/>
          <w:sz w:val="32"/>
          <w:szCs w:val="32"/>
        </w:rPr>
        <w:t>万元</w:t>
      </w:r>
      <w:r>
        <w:rPr>
          <w:rFonts w:hint="eastAsia" w:ascii="仿宋_GB2312" w:eastAsia="仿宋_GB2312"/>
          <w:sz w:val="32"/>
          <w:szCs w:val="32"/>
        </w:rPr>
        <w:t>，其中，</w:t>
      </w:r>
      <w:r>
        <w:rPr>
          <w:rFonts w:hint="eastAsia" w:ascii="Times New Roman" w:hAnsi="Times New Roman" w:eastAsia="仿宋_GB2312" w:cs="Times New Roman"/>
          <w:sz w:val="32"/>
          <w:szCs w:val="32"/>
        </w:rPr>
        <w:t>公务用车购置费</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w:t>
      </w:r>
      <w:r>
        <w:rPr>
          <w:rFonts w:hint="eastAsia" w:ascii="仿宋_GB2312" w:eastAsia="仿宋_GB2312"/>
          <w:sz w:val="32"/>
          <w:szCs w:val="32"/>
        </w:rPr>
        <w:t>公务用车维护费</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Times New Roman" w:hAnsi="Times New Roman" w:eastAsia="仿宋_GB2312" w:cs="Times New Roman"/>
          <w:sz w:val="32"/>
          <w:szCs w:val="32"/>
        </w:rPr>
        <w:t>主要用于开展工作所需公务用车的燃料费、维修费、过路过桥费、保险费等支出。公务用车购置费预算数与2020年持平，均为</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万元。公务用车运行维护费预算数比202</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年减少</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万元。主要原因：厉行勤俭节约，压减公务用车运行维护费。</w:t>
      </w:r>
    </w:p>
    <w:p>
      <w:pPr>
        <w:ind w:left="19" w:leftChars="9" w:firstLine="623" w:firstLineChars="194"/>
        <w:rPr>
          <w:rFonts w:ascii="仿宋_GB2312" w:eastAsia="仿宋_GB2312"/>
          <w:b/>
          <w:color w:val="FF0000"/>
          <w:sz w:val="32"/>
          <w:szCs w:val="32"/>
        </w:rPr>
      </w:pPr>
      <w:r>
        <w:rPr>
          <w:rFonts w:hint="eastAsia" w:ascii="仿宋_GB2312" w:eastAsia="仿宋_GB2312"/>
          <w:b/>
          <w:bCs/>
          <w:sz w:val="32"/>
          <w:szCs w:val="32"/>
        </w:rPr>
        <w:t>公务接待费</w:t>
      </w:r>
      <w:r>
        <w:rPr>
          <w:rFonts w:hint="eastAsia" w:ascii="仿宋_GB2312" w:eastAsia="仿宋_GB2312"/>
          <w:b/>
          <w:bCs/>
          <w:sz w:val="32"/>
          <w:szCs w:val="32"/>
          <w:lang w:val="en-US" w:eastAsia="zh-CN"/>
        </w:rPr>
        <w:t>0</w:t>
      </w:r>
      <w:r>
        <w:rPr>
          <w:rFonts w:hint="eastAsia" w:ascii="仿宋_GB2312" w:eastAsia="仿宋_GB2312"/>
          <w:b/>
          <w:bCs/>
          <w:sz w:val="32"/>
          <w:szCs w:val="32"/>
        </w:rPr>
        <w:t>万元</w:t>
      </w:r>
      <w:r>
        <w:rPr>
          <w:rFonts w:hint="eastAsia" w:ascii="仿宋_GB2312" w:eastAsia="仿宋_GB2312"/>
          <w:sz w:val="32"/>
          <w:szCs w:val="32"/>
        </w:rPr>
        <w:t>。</w:t>
      </w:r>
      <w:r>
        <w:rPr>
          <w:rFonts w:hint="eastAsia" w:ascii="Times New Roman" w:hAnsi="Times New Roman" w:eastAsia="仿宋_GB2312" w:cs="Times New Roman"/>
          <w:sz w:val="32"/>
          <w:szCs w:val="32"/>
        </w:rPr>
        <w:t>主要用于按规定开支的各类公务接待支出。预算数比2020年减少</w:t>
      </w:r>
      <w:r>
        <w:rPr>
          <w:rFonts w:hint="eastAsia" w:ascii="Times New Roman" w:hAnsi="Times New Roman" w:eastAsia="仿宋_GB2312" w:cs="Times New Roman"/>
          <w:sz w:val="32"/>
          <w:szCs w:val="32"/>
          <w:lang w:val="en-US" w:eastAsia="zh-CN"/>
        </w:rPr>
        <w:t>0</w:t>
      </w:r>
      <w:r>
        <w:rPr>
          <w:rFonts w:hint="eastAsia" w:ascii="Times New Roman" w:hAnsi="Times New Roman" w:eastAsia="仿宋_GB2312" w:cs="Times New Roman"/>
          <w:sz w:val="32"/>
          <w:szCs w:val="32"/>
        </w:rPr>
        <w:t>万元。主要原因：按照中央八项规定，减少公务接待开支。</w:t>
      </w:r>
    </w:p>
    <w:p>
      <w:pPr>
        <w:ind w:firstLine="640" w:firstLineChars="200"/>
        <w:rPr>
          <w:rFonts w:ascii="黑体" w:eastAsia="黑体"/>
          <w:sz w:val="32"/>
          <w:szCs w:val="32"/>
        </w:rPr>
      </w:pPr>
      <w:r>
        <w:rPr>
          <w:rFonts w:hint="eastAsia" w:ascii="黑体" w:eastAsia="黑体"/>
          <w:sz w:val="32"/>
          <w:szCs w:val="32"/>
        </w:rPr>
        <w:t>九、政府性基金预算支出预算情况说明</w:t>
      </w:r>
    </w:p>
    <w:p>
      <w:pPr>
        <w:ind w:firstLine="70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2021年</w:t>
      </w:r>
      <w:r>
        <w:rPr>
          <w:rFonts w:hint="eastAsia" w:ascii="Times New Roman" w:hAnsi="Times New Roman" w:eastAsia="仿宋_GB2312" w:cs="Times New Roman"/>
          <w:sz w:val="32"/>
          <w:szCs w:val="32"/>
          <w:lang w:eastAsia="zh-CN"/>
        </w:rPr>
        <w:t>我单位</w:t>
      </w:r>
      <w:r>
        <w:rPr>
          <w:rFonts w:hint="eastAsia" w:ascii="Times New Roman" w:hAnsi="Times New Roman" w:eastAsia="仿宋_GB2312" w:cs="Times New Roman"/>
          <w:sz w:val="32"/>
          <w:szCs w:val="32"/>
        </w:rPr>
        <w:t>没有使用政府性基金预算拨款安排的支出。</w:t>
      </w:r>
    </w:p>
    <w:p>
      <w:pPr>
        <w:ind w:firstLine="709"/>
        <w:rPr>
          <w:rFonts w:ascii="黑体" w:eastAsia="黑体"/>
          <w:sz w:val="32"/>
          <w:szCs w:val="32"/>
        </w:rPr>
      </w:pPr>
      <w:r>
        <w:rPr>
          <w:rFonts w:hint="eastAsia" w:ascii="黑体" w:eastAsia="黑体"/>
          <w:sz w:val="32"/>
          <w:szCs w:val="32"/>
        </w:rPr>
        <w:t>十、其他重要事项的情况说明</w:t>
      </w:r>
    </w:p>
    <w:p>
      <w:pPr>
        <w:ind w:firstLine="709"/>
        <w:rPr>
          <w:rFonts w:ascii="仿宋_GB2312" w:eastAsia="仿宋_GB2312"/>
          <w:b/>
          <w:sz w:val="32"/>
          <w:szCs w:val="32"/>
        </w:rPr>
      </w:pPr>
      <w:r>
        <w:rPr>
          <w:rFonts w:hint="eastAsia" w:ascii="仿宋_GB2312" w:eastAsia="仿宋_GB2312"/>
          <w:b/>
          <w:sz w:val="32"/>
          <w:szCs w:val="32"/>
        </w:rPr>
        <w:t>（一）机关运行经费支出情况说明</w:t>
      </w:r>
    </w:p>
    <w:p>
      <w:pPr>
        <w:ind w:firstLine="709"/>
        <w:rPr>
          <w:rFonts w:hint="eastAsia" w:ascii="Times New Roman" w:hAnsi="Times New Roman" w:eastAsia="仿宋_GB2312" w:cs="Times New Roman"/>
          <w:sz w:val="32"/>
          <w:szCs w:val="32"/>
          <w:lang w:eastAsia="zh-CN"/>
        </w:rPr>
      </w:pPr>
      <w:bookmarkStart w:id="0" w:name="_GoBack"/>
      <w:r>
        <w:rPr>
          <w:rFonts w:hint="eastAsia" w:ascii="Times New Roman" w:hAnsi="Times New Roman" w:eastAsia="仿宋_GB2312" w:cs="Times New Roman"/>
          <w:sz w:val="32"/>
          <w:szCs w:val="32"/>
          <w:lang w:eastAsia="zh-CN"/>
        </w:rPr>
        <w:t>我单位不是行政机关，也不是参照公务员管理事业单位，没有机关运行经费支出。</w:t>
      </w:r>
      <w:bookmarkEnd w:id="0"/>
    </w:p>
    <w:p>
      <w:pPr>
        <w:ind w:firstLine="709"/>
        <w:rPr>
          <w:rFonts w:ascii="仿宋_GB2312" w:eastAsia="仿宋_GB2312"/>
          <w:b/>
          <w:sz w:val="32"/>
          <w:szCs w:val="32"/>
        </w:rPr>
      </w:pPr>
      <w:r>
        <w:rPr>
          <w:rFonts w:hint="eastAsia" w:ascii="仿宋_GB2312" w:eastAsia="仿宋_GB2312"/>
          <w:b/>
          <w:sz w:val="32"/>
          <w:szCs w:val="32"/>
        </w:rPr>
        <w:t>（二）政府采购支出情况</w:t>
      </w:r>
    </w:p>
    <w:p>
      <w:pPr>
        <w:ind w:firstLine="709"/>
        <w:rPr>
          <w:rFonts w:hint="eastAsia" w:ascii="仿宋_GB2312" w:eastAsia="仿宋_GB2312"/>
          <w:sz w:val="32"/>
          <w:szCs w:val="32"/>
        </w:rPr>
      </w:pPr>
      <w:r>
        <w:rPr>
          <w:rFonts w:hint="eastAsia" w:ascii="仿宋_GB2312" w:eastAsia="仿宋_GB2312"/>
          <w:sz w:val="32"/>
          <w:szCs w:val="32"/>
        </w:rPr>
        <w:t>2021年有</w:t>
      </w:r>
      <w:r>
        <w:rPr>
          <w:rFonts w:hint="eastAsia" w:ascii="仿宋_GB2312" w:eastAsia="仿宋_GB2312"/>
          <w:sz w:val="32"/>
          <w:szCs w:val="32"/>
          <w:highlight w:val="none"/>
        </w:rPr>
        <w:t>无</w:t>
      </w:r>
      <w:r>
        <w:rPr>
          <w:rFonts w:hint="eastAsia" w:ascii="仿宋_GB2312" w:eastAsia="仿宋_GB2312"/>
          <w:sz w:val="32"/>
          <w:szCs w:val="32"/>
        </w:rPr>
        <w:t>政府采购预算安排。</w:t>
      </w:r>
    </w:p>
    <w:p>
      <w:pPr>
        <w:ind w:firstLine="709"/>
        <w:rPr>
          <w:rFonts w:ascii="仿宋_GB2312" w:eastAsia="仿宋_GB2312"/>
          <w:b/>
          <w:sz w:val="32"/>
          <w:szCs w:val="32"/>
        </w:rPr>
      </w:pPr>
      <w:r>
        <w:rPr>
          <w:rFonts w:hint="eastAsia" w:ascii="仿宋_GB2312" w:eastAsia="仿宋_GB2312"/>
          <w:b/>
          <w:sz w:val="32"/>
          <w:szCs w:val="32"/>
        </w:rPr>
        <w:t>（三）绩效目标设置情况</w:t>
      </w:r>
    </w:p>
    <w:p>
      <w:pPr>
        <w:ind w:left="0" w:leftChars="0" w:firstLine="640" w:firstLineChars="200"/>
        <w:rPr>
          <w:rFonts w:hint="eastAsia" w:ascii="仿宋_GB2312" w:eastAsia="仿宋_GB2312"/>
          <w:sz w:val="32"/>
          <w:szCs w:val="32"/>
          <w:lang w:val="en-US" w:eastAsia="zh-CN"/>
        </w:rPr>
      </w:pPr>
      <w:r>
        <w:rPr>
          <w:rFonts w:hint="eastAsia" w:ascii="仿宋_GB2312" w:eastAsia="仿宋_GB2312"/>
          <w:sz w:val="32"/>
          <w:szCs w:val="32"/>
          <w:lang w:eastAsia="zh-CN"/>
        </w:rPr>
        <w:t>我单位</w:t>
      </w:r>
      <w:r>
        <w:rPr>
          <w:rFonts w:hint="eastAsia" w:ascii="仿宋_GB2312" w:eastAsia="仿宋_GB2312"/>
          <w:sz w:val="32"/>
          <w:szCs w:val="32"/>
          <w:lang w:val="en-US" w:eastAsia="zh-CN"/>
        </w:rPr>
        <w:t>2022年预算项目均按要求编制了绩效目标，从项目产出、项目效益、满意度等方面设置了绩效指标，综合反映项目预期完成的数量、时效、质量，预期达到的社会经济效益、可持续影响及服务对象满意度等情况。</w:t>
      </w:r>
    </w:p>
    <w:p>
      <w:pPr>
        <w:ind w:firstLine="709"/>
        <w:rPr>
          <w:rFonts w:ascii="仿宋_GB2312" w:eastAsia="仿宋_GB2312"/>
          <w:b/>
          <w:sz w:val="32"/>
          <w:szCs w:val="32"/>
        </w:rPr>
      </w:pPr>
      <w:r>
        <w:rPr>
          <w:rFonts w:hint="eastAsia" w:ascii="仿宋_GB2312" w:eastAsia="仿宋_GB2312"/>
          <w:b/>
          <w:sz w:val="32"/>
          <w:szCs w:val="32"/>
        </w:rPr>
        <w:t>（四）国有资产占用情况</w:t>
      </w:r>
    </w:p>
    <w:p>
      <w:pPr>
        <w:ind w:firstLine="709"/>
        <w:rPr>
          <w:rFonts w:ascii="仿宋_GB2312" w:eastAsia="仿宋_GB2312"/>
          <w:color w:val="000000"/>
          <w:sz w:val="32"/>
          <w:szCs w:val="32"/>
          <w:highlight w:val="yellow"/>
        </w:rPr>
      </w:pPr>
      <w:r>
        <w:rPr>
          <w:rFonts w:hint="eastAsia" w:ascii="仿宋_GB2312" w:eastAsia="仿宋_GB2312"/>
          <w:sz w:val="32"/>
          <w:szCs w:val="32"/>
        </w:rPr>
        <w:t>2020年期末，我单位共有车辆</w:t>
      </w:r>
      <w:r>
        <w:rPr>
          <w:rFonts w:hint="eastAsia" w:ascii="仿宋_GB2312" w:eastAsia="仿宋_GB2312"/>
          <w:color w:val="000000"/>
          <w:sz w:val="32"/>
          <w:szCs w:val="32"/>
          <w:lang w:val="en-US" w:eastAsia="zh-CN"/>
        </w:rPr>
        <w:t>18</w:t>
      </w:r>
      <w:r>
        <w:rPr>
          <w:rFonts w:hint="eastAsia" w:ascii="仿宋_GB2312" w:eastAsia="仿宋_GB2312"/>
          <w:sz w:val="32"/>
          <w:szCs w:val="32"/>
        </w:rPr>
        <w:t>辆，其中：一般公务用车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18</w:t>
      </w:r>
      <w:r>
        <w:rPr>
          <w:rFonts w:hint="eastAsia" w:ascii="仿宋_GB2312" w:eastAsia="仿宋_GB2312"/>
          <w:sz w:val="32"/>
          <w:szCs w:val="32"/>
        </w:rPr>
        <w:t>辆，其他用车主要是</w:t>
      </w:r>
      <w:r>
        <w:rPr>
          <w:rFonts w:hint="eastAsia" w:ascii="仿宋_GB2312" w:eastAsia="仿宋_GB2312"/>
          <w:sz w:val="32"/>
          <w:szCs w:val="32"/>
          <w:lang w:eastAsia="zh-CN"/>
        </w:rPr>
        <w:t>殡葬服务</w:t>
      </w:r>
      <w:r>
        <w:rPr>
          <w:rFonts w:hint="eastAsia" w:ascii="仿宋_GB2312" w:eastAsia="仿宋_GB2312"/>
          <w:sz w:val="32"/>
          <w:szCs w:val="32"/>
        </w:rPr>
        <w:t>用车  辆。单价50万元以上通用设备</w:t>
      </w:r>
      <w:r>
        <w:rPr>
          <w:rFonts w:hint="eastAsia" w:ascii="仿宋_GB2312" w:eastAsia="仿宋_GB2312"/>
          <w:sz w:val="32"/>
          <w:szCs w:val="32"/>
          <w:lang w:val="en-US" w:eastAsia="zh-CN"/>
        </w:rPr>
        <w:t>0</w:t>
      </w:r>
      <w:r>
        <w:rPr>
          <w:rFonts w:hint="eastAsia" w:ascii="仿宋_GB2312" w:eastAsia="仿宋_GB2312"/>
          <w:sz w:val="32"/>
          <w:szCs w:val="32"/>
        </w:rPr>
        <w:t>套，单位价值100万元以上专用设备</w:t>
      </w:r>
      <w:r>
        <w:rPr>
          <w:rFonts w:hint="eastAsia" w:ascii="仿宋_GB2312" w:eastAsia="仿宋_GB2312"/>
          <w:sz w:val="32"/>
          <w:szCs w:val="32"/>
          <w:lang w:val="en-US" w:eastAsia="zh-CN"/>
        </w:rPr>
        <w:t>0</w:t>
      </w:r>
      <w:r>
        <w:rPr>
          <w:rFonts w:hint="eastAsia" w:ascii="仿宋_GB2312" w:eastAsia="仿宋_GB2312"/>
          <w:sz w:val="32"/>
          <w:szCs w:val="32"/>
        </w:rPr>
        <w:t>套。</w:t>
      </w:r>
    </w:p>
    <w:p>
      <w:pPr>
        <w:ind w:firstLine="709"/>
        <w:rPr>
          <w:rFonts w:ascii="仿宋_GB2312" w:eastAsia="仿宋_GB2312"/>
          <w:b/>
          <w:sz w:val="32"/>
          <w:szCs w:val="32"/>
        </w:rPr>
      </w:pPr>
      <w:r>
        <w:rPr>
          <w:rFonts w:hint="eastAsia" w:ascii="仿宋_GB2312" w:eastAsia="仿宋_GB2312"/>
          <w:b/>
          <w:sz w:val="32"/>
          <w:szCs w:val="32"/>
        </w:rPr>
        <w:t>（五）专项转移支付情况</w:t>
      </w:r>
    </w:p>
    <w:p>
      <w:pPr>
        <w:ind w:firstLine="709"/>
        <w:jc w:val="both"/>
        <w:rPr>
          <w:rFonts w:hint="eastAsia" w:ascii="仿宋_GB2312" w:eastAsia="仿宋_GB2312"/>
          <w:sz w:val="32"/>
          <w:szCs w:val="32"/>
          <w:highlight w:val="none"/>
          <w:lang w:eastAsia="zh-CN"/>
        </w:rPr>
      </w:pPr>
      <w:r>
        <w:rPr>
          <w:rFonts w:hint="eastAsia" w:ascii="仿宋_GB2312" w:eastAsia="仿宋_GB2312"/>
          <w:sz w:val="32"/>
          <w:szCs w:val="32"/>
          <w:highlight w:val="none"/>
          <w:lang w:eastAsia="zh-CN"/>
        </w:rPr>
        <w:t>我单位暂无负责的专项转移支付项目。</w:t>
      </w:r>
    </w:p>
    <w:p>
      <w:pPr>
        <w:ind w:firstLine="709"/>
        <w:jc w:val="center"/>
        <w:rPr>
          <w:rFonts w:hint="eastAsia" w:ascii="仿宋_GB2312" w:eastAsia="仿宋_GB2312"/>
          <w:sz w:val="32"/>
          <w:szCs w:val="32"/>
        </w:rPr>
      </w:pPr>
      <w:r>
        <w:rPr>
          <w:rFonts w:hint="eastAsia" w:ascii="黑体" w:hAnsi="宋体" w:eastAsia="黑体"/>
          <w:sz w:val="32"/>
          <w:szCs w:val="32"/>
        </w:rPr>
        <w:t>第三部分 名词解释</w:t>
      </w:r>
    </w:p>
    <w:p>
      <w:pPr>
        <w:ind w:firstLine="709"/>
        <w:rPr>
          <w:rFonts w:ascii="仿宋_GB2312" w:eastAsia="仿宋_GB2312"/>
          <w:sz w:val="32"/>
          <w:szCs w:val="32"/>
        </w:rPr>
      </w:pPr>
      <w:r>
        <w:rPr>
          <w:rFonts w:hint="eastAsia" w:ascii="仿宋_GB2312" w:eastAsia="仿宋_GB2312"/>
          <w:sz w:val="32"/>
          <w:szCs w:val="32"/>
        </w:rPr>
        <w:t>一、财政拨款收入：是指市级财政当年拨付的资金。</w:t>
      </w:r>
    </w:p>
    <w:p>
      <w:pPr>
        <w:ind w:firstLine="709"/>
        <w:rPr>
          <w:rFonts w:ascii="仿宋_GB2312" w:eastAsia="仿宋_GB2312"/>
          <w:sz w:val="32"/>
          <w:szCs w:val="32"/>
        </w:rPr>
      </w:pPr>
      <w:r>
        <w:rPr>
          <w:rFonts w:hint="eastAsia" w:ascii="仿宋_GB2312" w:eastAsia="仿宋_GB2312"/>
          <w:sz w:val="32"/>
          <w:szCs w:val="32"/>
        </w:rPr>
        <w:t>二、财政专户管理资金：是指缴入财政专户、实行专项管理的高中以上学费、住宿费、高校委托培训费、函大、电大、夜大及短期培训费等教育收费。</w:t>
      </w:r>
    </w:p>
    <w:p>
      <w:pPr>
        <w:ind w:firstLine="709"/>
        <w:rPr>
          <w:rFonts w:ascii="仿宋_GB2312" w:eastAsia="仿宋_GB2312"/>
          <w:sz w:val="32"/>
          <w:szCs w:val="32"/>
        </w:rPr>
      </w:pPr>
      <w:r>
        <w:rPr>
          <w:rFonts w:hint="eastAsia" w:ascii="仿宋_GB2312" w:eastAsia="仿宋_GB2312"/>
          <w:sz w:val="32"/>
          <w:szCs w:val="32"/>
        </w:rPr>
        <w:t>三、事业收入：是指事业单位开展专业活动及辅助活动所取得的收入，不包括教育收费。</w:t>
      </w:r>
    </w:p>
    <w:p>
      <w:pPr>
        <w:ind w:firstLine="709"/>
        <w:rPr>
          <w:rFonts w:ascii="仿宋_GB2312" w:eastAsia="仿宋_GB2312"/>
          <w:sz w:val="32"/>
          <w:szCs w:val="32"/>
        </w:rPr>
      </w:pPr>
      <w:r>
        <w:rPr>
          <w:rFonts w:hint="eastAsia" w:ascii="仿宋_GB2312" w:eastAsia="仿宋_GB2312"/>
          <w:sz w:val="32"/>
          <w:szCs w:val="32"/>
        </w:rPr>
        <w:t>四、事业单位经营收入：是指事业单位在专业业务活动及其辅助活动之外开展独立核算经营活动取得的收入。</w:t>
      </w:r>
    </w:p>
    <w:p>
      <w:pPr>
        <w:ind w:firstLine="709"/>
        <w:rPr>
          <w:rFonts w:ascii="仿宋_GB2312" w:eastAsia="仿宋_GB2312"/>
          <w:sz w:val="32"/>
          <w:szCs w:val="32"/>
        </w:rPr>
      </w:pPr>
      <w:r>
        <w:rPr>
          <w:rFonts w:hint="eastAsia" w:ascii="仿宋_GB2312" w:eastAsia="仿宋_GB2312"/>
          <w:sz w:val="32"/>
          <w:szCs w:val="32"/>
        </w:rPr>
        <w:t>五、其他收入：是指单位取得的除“财政拨款”、“事业收入”、“事业单位经营收入”等以外的收入。</w:t>
      </w:r>
    </w:p>
    <w:p>
      <w:pPr>
        <w:ind w:firstLine="709"/>
        <w:rPr>
          <w:rFonts w:ascii="仿宋_GB2312" w:eastAsia="仿宋_GB2312"/>
          <w:sz w:val="32"/>
          <w:szCs w:val="32"/>
        </w:rPr>
      </w:pPr>
      <w:r>
        <w:rPr>
          <w:rFonts w:hint="eastAsia" w:ascii="仿宋_GB2312" w:eastAsia="仿宋_GB2312"/>
          <w:sz w:val="32"/>
          <w:szCs w:val="32"/>
        </w:rPr>
        <w:t>六、用事业基金弥补收支差额：是指事业单位在当年的“财政拨款收入”、“事业收入”、“经营收入”和“其他收入”不足以安排当年支出的情况下，使用以前年度积累的事业基金（即事业单位以前各年度收支相抵后，按国家规定提取、用于弥补以后年度收支差额的基金）弥补当年收支缺口的资金。</w:t>
      </w:r>
    </w:p>
    <w:p>
      <w:pPr>
        <w:ind w:firstLine="709"/>
        <w:rPr>
          <w:rFonts w:ascii="仿宋_GB2312" w:eastAsia="仿宋_GB2312"/>
          <w:sz w:val="32"/>
          <w:szCs w:val="32"/>
        </w:rPr>
      </w:pPr>
      <w:r>
        <w:rPr>
          <w:rFonts w:hint="eastAsia" w:ascii="仿宋_GB2312" w:eastAsia="仿宋_GB2312"/>
          <w:sz w:val="32"/>
          <w:szCs w:val="32"/>
        </w:rPr>
        <w:t>七、基本支出：是指为保障机构正常运转、完成日常工作任务所必需的开支，其内容包括人员经费和日常公用经费两部分。</w:t>
      </w:r>
    </w:p>
    <w:p>
      <w:pPr>
        <w:ind w:firstLine="709"/>
        <w:rPr>
          <w:rFonts w:ascii="仿宋_GB2312" w:eastAsia="仿宋_GB2312"/>
          <w:sz w:val="32"/>
          <w:szCs w:val="32"/>
        </w:rPr>
      </w:pPr>
      <w:r>
        <w:rPr>
          <w:rFonts w:hint="eastAsia" w:ascii="仿宋_GB2312" w:eastAsia="仿宋_GB2312"/>
          <w:sz w:val="32"/>
          <w:szCs w:val="32"/>
        </w:rPr>
        <w:t>八、项目支出：是指在基本支出之外，为完成特定的行政工作任务或事业发展目标所发生的支出。</w:t>
      </w:r>
    </w:p>
    <w:p>
      <w:pPr>
        <w:ind w:firstLine="709"/>
        <w:rPr>
          <w:rFonts w:ascii="仿宋_GB2312" w:eastAsia="仿宋_GB2312"/>
          <w:sz w:val="32"/>
          <w:szCs w:val="32"/>
        </w:rPr>
      </w:pPr>
      <w:r>
        <w:rPr>
          <w:rFonts w:hint="eastAsia" w:ascii="仿宋_GB2312" w:eastAsia="仿宋_GB2312"/>
          <w:sz w:val="32"/>
          <w:szCs w:val="32"/>
        </w:rPr>
        <w:t>九、“三公”经费：是指纳入本级财政预算管理，单位使用财政拨款安排的因公出国（境）费、公务用车购置及运行费和公务接待费。其中，因公出国（境）费反映单位公务出国（境）的住宿费、</w:t>
      </w:r>
      <w:r>
        <w:rPr>
          <w:rFonts w:hint="eastAsia" w:ascii="Times New Roman" w:hAnsi="Times New Roman" w:eastAsia="仿宋_GB2312" w:cs="仿宋_GB2312"/>
          <w:sz w:val="32"/>
          <w:szCs w:val="32"/>
        </w:rPr>
        <w:t>差</w:t>
      </w:r>
      <w:r>
        <w:rPr>
          <w:rFonts w:hint="eastAsia" w:ascii="仿宋_GB2312" w:eastAsia="仿宋_GB2312"/>
          <w:sz w:val="32"/>
          <w:szCs w:val="32"/>
        </w:rPr>
        <w:t>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ind w:firstLine="709"/>
        <w:rPr>
          <w:rFonts w:ascii="仿宋_GB2312" w:eastAsia="仿宋_GB2312"/>
          <w:sz w:val="32"/>
          <w:szCs w:val="32"/>
        </w:rPr>
      </w:pPr>
      <w:r>
        <w:rPr>
          <w:rFonts w:hint="eastAsia" w:ascii="仿宋_GB2312" w:eastAsia="仿宋_GB2312"/>
          <w:sz w:val="32"/>
          <w:szCs w:val="32"/>
        </w:rPr>
        <w:t>十、</w:t>
      </w:r>
      <w:r>
        <w:rPr>
          <w:rFonts w:hint="eastAsia" w:ascii="仿宋_GB2312" w:eastAsia="仿宋_GB2312"/>
          <w:bCs/>
          <w:sz w:val="32"/>
          <w:szCs w:val="32"/>
        </w:rPr>
        <w:t>机关运行经费：是指为保障行政单位（含参照公务员法管理的事业单位）运行用于购买货物和服务的各项资金，包括办公及印刷费、邮电费、差旅费、会议费、福利费、日常维修费及一般设备购置费、办公用房水电费、办公用房取暖费、办公用房物业管理费、公务用车运行维护费以及其他费用。</w:t>
      </w:r>
    </w:p>
    <w:p>
      <w:pPr>
        <w:ind w:firstLine="426"/>
        <w:rPr>
          <w:rFonts w:ascii="仿宋_GB2312" w:eastAsia="仿宋_GB2312"/>
          <w:b/>
          <w:bCs/>
          <w:sz w:val="32"/>
          <w:szCs w:val="32"/>
        </w:rPr>
      </w:pPr>
      <w:r>
        <w:rPr>
          <w:rFonts w:hint="eastAsia" w:ascii="仿宋_GB2312" w:eastAsia="仿宋_GB2312"/>
          <w:b/>
          <w:bCs/>
          <w:sz w:val="32"/>
          <w:szCs w:val="32"/>
        </w:rPr>
        <w:t>附件：2021年度单位预算表</w:t>
      </w:r>
    </w:p>
    <w:p>
      <w:pPr>
        <w:ind w:firstLine="709"/>
        <w:rPr>
          <w:rFonts w:hint="eastAsia" w:ascii="仿宋_GB2312" w:eastAsia="仿宋_GB2312"/>
          <w:bCs/>
          <w:sz w:val="32"/>
          <w:szCs w:val="32"/>
        </w:rPr>
      </w:pPr>
      <w:r>
        <w:rPr>
          <w:rFonts w:hint="eastAsia" w:ascii="仿宋_GB2312" w:eastAsia="仿宋_GB2312"/>
          <w:bCs/>
          <w:sz w:val="32"/>
          <w:szCs w:val="32"/>
        </w:rPr>
        <w:t>一、单位收支总体情况表</w:t>
      </w:r>
    </w:p>
    <w:p>
      <w:pPr>
        <w:ind w:firstLine="709"/>
        <w:rPr>
          <w:rFonts w:hint="eastAsia" w:ascii="仿宋_GB2312" w:eastAsia="仿宋_GB2312"/>
          <w:bCs/>
          <w:sz w:val="32"/>
          <w:szCs w:val="32"/>
        </w:rPr>
      </w:pPr>
      <w:r>
        <w:rPr>
          <w:rFonts w:hint="eastAsia" w:ascii="仿宋_GB2312" w:eastAsia="仿宋_GB2312"/>
          <w:bCs/>
          <w:sz w:val="32"/>
          <w:szCs w:val="32"/>
        </w:rPr>
        <w:t>二、单位收入总体情况表</w:t>
      </w:r>
    </w:p>
    <w:p>
      <w:pPr>
        <w:ind w:firstLine="709"/>
        <w:rPr>
          <w:rFonts w:hint="eastAsia" w:ascii="仿宋_GB2312" w:eastAsia="仿宋_GB2312"/>
          <w:bCs/>
          <w:sz w:val="32"/>
          <w:szCs w:val="32"/>
        </w:rPr>
      </w:pPr>
      <w:r>
        <w:rPr>
          <w:rFonts w:hint="eastAsia" w:ascii="仿宋_GB2312" w:eastAsia="仿宋_GB2312"/>
          <w:bCs/>
          <w:sz w:val="32"/>
          <w:szCs w:val="32"/>
        </w:rPr>
        <w:t>三、单位支出总体情况表</w:t>
      </w:r>
    </w:p>
    <w:p>
      <w:pPr>
        <w:ind w:firstLine="709"/>
        <w:rPr>
          <w:rFonts w:hint="eastAsia" w:ascii="仿宋_GB2312" w:eastAsia="仿宋_GB2312"/>
          <w:bCs/>
          <w:sz w:val="32"/>
          <w:szCs w:val="32"/>
        </w:rPr>
      </w:pPr>
      <w:r>
        <w:rPr>
          <w:rFonts w:hint="eastAsia" w:ascii="仿宋_GB2312" w:eastAsia="仿宋_GB2312"/>
          <w:bCs/>
          <w:sz w:val="32"/>
          <w:szCs w:val="32"/>
        </w:rPr>
        <w:t>四、财政拨款收支总体情况表</w:t>
      </w:r>
    </w:p>
    <w:p>
      <w:pPr>
        <w:ind w:firstLine="709"/>
        <w:rPr>
          <w:rFonts w:hint="eastAsia" w:ascii="仿宋_GB2312" w:eastAsia="仿宋_GB2312"/>
          <w:bCs/>
          <w:sz w:val="32"/>
          <w:szCs w:val="32"/>
        </w:rPr>
      </w:pPr>
      <w:r>
        <w:rPr>
          <w:rFonts w:hint="eastAsia" w:ascii="仿宋_GB2312" w:eastAsia="仿宋_GB2312"/>
          <w:bCs/>
          <w:sz w:val="32"/>
          <w:szCs w:val="32"/>
        </w:rPr>
        <w:t>五、一般公共预算支出情况表</w:t>
      </w:r>
    </w:p>
    <w:p>
      <w:pPr>
        <w:ind w:firstLine="709"/>
        <w:rPr>
          <w:rFonts w:hint="eastAsia" w:ascii="仿宋_GB2312" w:eastAsia="仿宋_GB2312"/>
          <w:bCs/>
          <w:sz w:val="32"/>
          <w:szCs w:val="32"/>
        </w:rPr>
      </w:pPr>
      <w:r>
        <w:rPr>
          <w:rFonts w:hint="eastAsia" w:ascii="仿宋_GB2312" w:eastAsia="仿宋_GB2312"/>
          <w:bCs/>
          <w:sz w:val="32"/>
          <w:szCs w:val="32"/>
        </w:rPr>
        <w:t>六、一般公共预算基本支出情况表</w:t>
      </w:r>
    </w:p>
    <w:p>
      <w:pPr>
        <w:ind w:firstLine="709"/>
        <w:rPr>
          <w:rFonts w:hint="eastAsia" w:ascii="仿宋_GB2312" w:eastAsia="仿宋_GB2312"/>
          <w:bCs/>
          <w:sz w:val="32"/>
          <w:szCs w:val="32"/>
        </w:rPr>
      </w:pPr>
      <w:r>
        <w:rPr>
          <w:rFonts w:hint="eastAsia" w:ascii="仿宋_GB2312" w:eastAsia="仿宋_GB2312"/>
          <w:bCs/>
          <w:sz w:val="32"/>
          <w:szCs w:val="32"/>
        </w:rPr>
        <w:t>七、一般公共预算“三公”经费支出情况表</w:t>
      </w:r>
    </w:p>
    <w:p>
      <w:pPr>
        <w:ind w:firstLine="709"/>
        <w:rPr>
          <w:rFonts w:hint="eastAsia" w:ascii="仿宋_GB2312" w:eastAsia="仿宋_GB2312"/>
          <w:bCs/>
          <w:sz w:val="32"/>
          <w:szCs w:val="32"/>
        </w:rPr>
      </w:pPr>
      <w:r>
        <w:rPr>
          <w:rFonts w:hint="eastAsia" w:ascii="仿宋_GB2312" w:eastAsia="仿宋_GB2312"/>
          <w:bCs/>
          <w:sz w:val="32"/>
          <w:szCs w:val="32"/>
        </w:rPr>
        <w:t>八、政府性基金预算支出情况表</w:t>
      </w:r>
    </w:p>
    <w:p>
      <w:pPr>
        <w:ind w:firstLine="709"/>
        <w:rPr>
          <w:rFonts w:hint="eastAsia" w:ascii="仿宋_GB2312" w:eastAsia="仿宋_GB2312"/>
          <w:bCs/>
          <w:sz w:val="32"/>
          <w:szCs w:val="32"/>
        </w:rPr>
      </w:pPr>
      <w:r>
        <w:rPr>
          <w:rFonts w:hint="eastAsia" w:ascii="仿宋_GB2312" w:eastAsia="仿宋_GB2312"/>
          <w:bCs/>
          <w:sz w:val="32"/>
          <w:szCs w:val="32"/>
        </w:rPr>
        <w:t>九、支出经济分类汇总表</w:t>
      </w:r>
    </w:p>
    <w:p>
      <w:pPr>
        <w:ind w:firstLine="709"/>
        <w:rPr>
          <w:rFonts w:hint="eastAsia" w:ascii="仿宋_GB2312" w:eastAsia="仿宋_GB2312"/>
          <w:bCs/>
          <w:sz w:val="32"/>
          <w:szCs w:val="32"/>
        </w:rPr>
        <w:sectPr>
          <w:footerReference r:id="rId3" w:type="default"/>
          <w:pgSz w:w="11906" w:h="16838"/>
          <w:pgMar w:top="1440" w:right="1800" w:bottom="1440" w:left="1800" w:header="851" w:footer="992" w:gutter="0"/>
          <w:cols w:space="720" w:num="1"/>
          <w:docGrid w:type="lines" w:linePitch="312" w:charSpace="0"/>
        </w:sectPr>
      </w:pPr>
    </w:p>
    <w:p>
      <w:pPr>
        <w:snapToGrid w:val="0"/>
        <w:spacing w:line="360" w:lineRule="auto"/>
        <w:ind w:left="0" w:leftChars="0" w:firstLine="0" w:firstLineChars="0"/>
        <w:rPr>
          <w:rFonts w:hint="eastAsia" w:ascii="仿宋_GB2312" w:hAnsi="宋体" w:eastAsia="仿宋_GB2312"/>
          <w:sz w:val="32"/>
          <w:szCs w:val="32"/>
        </w:rPr>
      </w:pPr>
      <w:r>
        <w:rPr>
          <w:rFonts w:hint="eastAsia" w:ascii="仿宋_GB2312" w:hAnsi="宋体" w:eastAsia="仿宋_GB2312" w:cs="黑体"/>
          <w:kern w:val="2"/>
          <w:sz w:val="32"/>
          <w:szCs w:val="32"/>
          <w:lang w:val="en-US" w:eastAsia="zh-CN" w:bidi="ar-SA"/>
        </w:rPr>
        <w:object>
          <v:shape id="_x0000_i1025" o:spt="75" type="#_x0000_t75" style="height:437.1pt;width:769.2pt;" o:ole="t" filled="f" o:preferrelative="t" stroked="f" coordsize="21600,21600">
            <v:path/>
            <v:fill on="f" focussize="0,0"/>
            <v:stroke on="f"/>
            <v:imagedata r:id="rId6" blacklevel="0f" o:title=""/>
            <o:lock v:ext="edit" aspectratio="f"/>
            <w10:wrap type="none"/>
            <w10:anchorlock/>
          </v:shape>
          <o:OLEObject Type="Embed" ProgID="Excel.Sheet.12" ShapeID="_x0000_i1025" DrawAspect="Content" ObjectID="_1468075725" r:id="rId5">
            <o:LockedField>false</o:LockedField>
          </o:OLEObject>
        </w:object>
      </w:r>
    </w:p>
    <w:p>
      <w:pPr>
        <w:snapToGrid w:val="0"/>
        <w:spacing w:line="360" w:lineRule="auto"/>
        <w:ind w:left="0" w:leftChars="0" w:firstLine="0" w:firstLineChars="0"/>
        <w:rPr>
          <w:rFonts w:hint="eastAsia" w:ascii="仿宋_GB2312" w:hAnsi="宋体" w:eastAsia="仿宋_GB2312" w:cs="黑体"/>
          <w:kern w:val="2"/>
          <w:sz w:val="32"/>
          <w:szCs w:val="32"/>
          <w:lang w:val="en-US" w:eastAsia="zh-CN" w:bidi="ar-SA"/>
        </w:rPr>
      </w:pPr>
      <w:r>
        <w:rPr>
          <w:rFonts w:hint="eastAsia" w:ascii="仿宋_GB2312" w:hAnsi="宋体" w:eastAsia="仿宋_GB2312" w:cs="黑体"/>
          <w:kern w:val="2"/>
          <w:sz w:val="32"/>
          <w:szCs w:val="32"/>
          <w:lang w:val="en-US" w:eastAsia="zh-CN" w:bidi="ar-SA"/>
        </w:rPr>
        <w:object>
          <v:shape id="_x0000_i1026" o:spt="75" type="#_x0000_t75" style="height:326.3pt;width:729.75pt;" o:ole="t" filled="f" o:preferrelative="t" stroked="f" coordsize="21600,21600">
            <v:path/>
            <v:fill on="f" focussize="0,0"/>
            <v:stroke on="f"/>
            <v:imagedata r:id="rId8" blacklevel="0f" o:title=""/>
            <o:lock v:ext="edit" aspectratio="f"/>
            <w10:wrap type="none"/>
            <w10:anchorlock/>
          </v:shape>
          <o:OLEObject Type="Embed" ProgID="Excel.Sheet.12" ShapeID="_x0000_i1026" DrawAspect="Content" ObjectID="_1468075726" r:id="rId7">
            <o:LockedField>false</o:LockedField>
          </o:OLEObject>
        </w:object>
      </w:r>
    </w:p>
    <w:p>
      <w:pPr>
        <w:snapToGrid w:val="0"/>
        <w:spacing w:line="360" w:lineRule="auto"/>
        <w:ind w:left="0" w:leftChars="0" w:firstLine="0" w:firstLineChars="0"/>
        <w:rPr>
          <w:rFonts w:hint="eastAsia" w:ascii="仿宋_GB2312" w:hAnsi="宋体" w:eastAsia="仿宋_GB2312"/>
          <w:sz w:val="32"/>
          <w:szCs w:val="32"/>
        </w:rPr>
      </w:pPr>
      <w:r>
        <w:rPr>
          <w:rFonts w:hint="eastAsia" w:ascii="仿宋_GB2312" w:hAnsi="宋体" w:eastAsia="仿宋_GB2312" w:cs="黑体"/>
          <w:kern w:val="2"/>
          <w:sz w:val="32"/>
          <w:szCs w:val="32"/>
          <w:lang w:val="en-US" w:eastAsia="zh-CN" w:bidi="ar-SA"/>
        </w:rPr>
        <w:br w:type="page"/>
      </w:r>
    </w:p>
    <w:tbl>
      <w:tblPr>
        <w:tblStyle w:val="5"/>
        <w:tblW w:w="150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96"/>
        <w:gridCol w:w="591"/>
        <w:gridCol w:w="591"/>
        <w:gridCol w:w="1503"/>
        <w:gridCol w:w="576"/>
        <w:gridCol w:w="1292"/>
        <w:gridCol w:w="1351"/>
        <w:gridCol w:w="1199"/>
        <w:gridCol w:w="1190"/>
        <w:gridCol w:w="1098"/>
        <w:gridCol w:w="1224"/>
        <w:gridCol w:w="1098"/>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2196" w:type="dxa"/>
            <w:tcBorders>
              <w:top w:val="nil"/>
              <w:left w:val="nil"/>
              <w:bottom w:val="nil"/>
              <w:right w:val="nil"/>
            </w:tcBorders>
            <w:vAlign w:val="center"/>
          </w:tcPr>
          <w:p>
            <w:pPr>
              <w:jc w:val="center"/>
              <w:rPr>
                <w:rFonts w:hint="eastAsia" w:ascii="宋体" w:hAnsi="宋体" w:eastAsia="宋体" w:cs="宋体"/>
                <w:i w:val="0"/>
                <w:iCs w:val="0"/>
                <w:color w:val="000000"/>
                <w:sz w:val="20"/>
                <w:szCs w:val="20"/>
                <w:u w:val="none"/>
              </w:rPr>
            </w:pPr>
          </w:p>
        </w:tc>
        <w:tc>
          <w:tcPr>
            <w:tcW w:w="591" w:type="dxa"/>
            <w:tcBorders>
              <w:top w:val="nil"/>
              <w:left w:val="nil"/>
              <w:bottom w:val="nil"/>
              <w:right w:val="nil"/>
            </w:tcBorders>
            <w:vAlign w:val="center"/>
          </w:tcPr>
          <w:p>
            <w:pPr>
              <w:jc w:val="center"/>
              <w:rPr>
                <w:rFonts w:hint="eastAsia" w:ascii="宋体" w:hAnsi="宋体" w:eastAsia="宋体" w:cs="宋体"/>
                <w:i w:val="0"/>
                <w:iCs w:val="0"/>
                <w:color w:val="000000"/>
                <w:sz w:val="20"/>
                <w:szCs w:val="20"/>
                <w:u w:val="none"/>
              </w:rPr>
            </w:pPr>
          </w:p>
        </w:tc>
        <w:tc>
          <w:tcPr>
            <w:tcW w:w="591" w:type="dxa"/>
            <w:tcBorders>
              <w:top w:val="nil"/>
              <w:left w:val="nil"/>
              <w:bottom w:val="nil"/>
              <w:right w:val="nil"/>
            </w:tcBorders>
            <w:vAlign w:val="center"/>
          </w:tcPr>
          <w:p>
            <w:pPr>
              <w:jc w:val="center"/>
              <w:rPr>
                <w:rFonts w:hint="eastAsia" w:ascii="宋体" w:hAnsi="宋体" w:eastAsia="宋体" w:cs="宋体"/>
                <w:i w:val="0"/>
                <w:iCs w:val="0"/>
                <w:color w:val="000000"/>
                <w:sz w:val="20"/>
                <w:szCs w:val="20"/>
                <w:u w:val="none"/>
              </w:rPr>
            </w:pPr>
          </w:p>
        </w:tc>
        <w:tc>
          <w:tcPr>
            <w:tcW w:w="1503" w:type="dxa"/>
            <w:tcBorders>
              <w:top w:val="nil"/>
              <w:left w:val="nil"/>
              <w:bottom w:val="nil"/>
              <w:right w:val="nil"/>
            </w:tcBorders>
            <w:vAlign w:val="center"/>
          </w:tcPr>
          <w:p>
            <w:pPr>
              <w:jc w:val="right"/>
              <w:rPr>
                <w:rFonts w:hint="eastAsia" w:ascii="宋体" w:hAnsi="宋体" w:eastAsia="宋体" w:cs="宋体"/>
                <w:i w:val="0"/>
                <w:iCs w:val="0"/>
                <w:color w:val="000000"/>
                <w:sz w:val="20"/>
                <w:szCs w:val="20"/>
                <w:u w:val="none"/>
              </w:rPr>
            </w:pPr>
          </w:p>
        </w:tc>
        <w:tc>
          <w:tcPr>
            <w:tcW w:w="576" w:type="dxa"/>
            <w:tcBorders>
              <w:top w:val="nil"/>
              <w:left w:val="nil"/>
              <w:bottom w:val="nil"/>
              <w:right w:val="nil"/>
            </w:tcBorders>
            <w:vAlign w:val="center"/>
          </w:tcPr>
          <w:p>
            <w:pPr>
              <w:jc w:val="left"/>
              <w:rPr>
                <w:rFonts w:hint="eastAsia" w:ascii="宋体" w:hAnsi="宋体" w:eastAsia="宋体" w:cs="宋体"/>
                <w:i w:val="0"/>
                <w:iCs w:val="0"/>
                <w:color w:val="000000"/>
                <w:sz w:val="20"/>
                <w:szCs w:val="20"/>
                <w:u w:val="none"/>
              </w:rPr>
            </w:pPr>
          </w:p>
        </w:tc>
        <w:tc>
          <w:tcPr>
            <w:tcW w:w="1292"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351"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199"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190"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098"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224"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098" w:type="dxa"/>
            <w:tcBorders>
              <w:top w:val="nil"/>
              <w:left w:val="nil"/>
              <w:bottom w:val="nil"/>
              <w:right w:val="nil"/>
            </w:tcBorders>
            <w:vAlign w:val="center"/>
          </w:tcPr>
          <w:p>
            <w:pPr>
              <w:rPr>
                <w:rFonts w:hint="eastAsia" w:ascii="宋体" w:hAnsi="宋体" w:eastAsia="宋体" w:cs="宋体"/>
                <w:i w:val="0"/>
                <w:iCs w:val="0"/>
                <w:color w:val="000000"/>
                <w:sz w:val="20"/>
                <w:szCs w:val="20"/>
                <w:u w:val="none"/>
              </w:rPr>
            </w:pPr>
          </w:p>
        </w:tc>
        <w:tc>
          <w:tcPr>
            <w:tcW w:w="1116" w:type="dxa"/>
            <w:tcBorders>
              <w:top w:val="nil"/>
              <w:left w:val="nil"/>
              <w:bottom w:val="nil"/>
              <w:right w:val="nil"/>
            </w:tcBorders>
            <w:vAlign w:val="center"/>
          </w:tcPr>
          <w:p>
            <w:pPr>
              <w:widowControl/>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预算03表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5025" w:type="dxa"/>
            <w:gridSpan w:val="13"/>
            <w:tcBorders>
              <w:top w:val="nil"/>
              <w:left w:val="nil"/>
              <w:bottom w:val="nil"/>
              <w:right w:val="nil"/>
            </w:tcBorders>
            <w:vAlign w:val="center"/>
          </w:tcPr>
          <w:p>
            <w:pPr>
              <w:widowControl/>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rPr>
              <w:t>2021年</w:t>
            </w:r>
            <w:r>
              <w:rPr>
                <w:rFonts w:hint="eastAsia" w:ascii="宋体" w:hAnsi="宋体" w:cs="宋体"/>
                <w:b/>
                <w:bCs/>
                <w:i w:val="0"/>
                <w:iCs w:val="0"/>
                <w:color w:val="000000"/>
                <w:kern w:val="0"/>
                <w:sz w:val="40"/>
                <w:szCs w:val="40"/>
                <w:u w:val="none"/>
                <w:lang w:val="en-US" w:eastAsia="zh-CN"/>
              </w:rPr>
              <w:t>单位</w:t>
            </w:r>
            <w:r>
              <w:rPr>
                <w:rFonts w:hint="eastAsia" w:ascii="宋体" w:hAnsi="宋体" w:eastAsia="宋体" w:cs="宋体"/>
                <w:b/>
                <w:bCs/>
                <w:i w:val="0"/>
                <w:iCs w:val="0"/>
                <w:color w:val="000000"/>
                <w:kern w:val="0"/>
                <w:sz w:val="40"/>
                <w:szCs w:val="40"/>
                <w:u w:val="none"/>
                <w:lang w:val="en-US" w:eastAsia="zh-CN"/>
              </w:rPr>
              <w:t>支出总体情况表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2196" w:type="dxa"/>
            <w:tcBorders>
              <w:top w:val="nil"/>
              <w:left w:val="nil"/>
              <w:bottom w:val="nil"/>
              <w:right w:val="nil"/>
            </w:tcBorders>
            <w:vAlign w:val="center"/>
          </w:tcPr>
          <w:p>
            <w:pPr>
              <w:widowControl/>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单位名称：邓州市殡仪馆</w:t>
            </w:r>
          </w:p>
        </w:tc>
        <w:tc>
          <w:tcPr>
            <w:tcW w:w="591" w:type="dxa"/>
            <w:tcBorders>
              <w:top w:val="nil"/>
              <w:left w:val="nil"/>
              <w:bottom w:val="nil"/>
              <w:right w:val="nil"/>
            </w:tcBorders>
            <w:vAlign w:val="center"/>
          </w:tcPr>
          <w:p>
            <w:pPr>
              <w:jc w:val="left"/>
              <w:rPr>
                <w:rFonts w:hint="eastAsia" w:ascii="宋体" w:hAnsi="宋体" w:eastAsia="宋体" w:cs="宋体"/>
                <w:i w:val="0"/>
                <w:iCs w:val="0"/>
                <w:color w:val="000000"/>
                <w:sz w:val="24"/>
                <w:szCs w:val="24"/>
                <w:u w:val="none"/>
              </w:rPr>
            </w:pPr>
          </w:p>
        </w:tc>
        <w:tc>
          <w:tcPr>
            <w:tcW w:w="591" w:type="dxa"/>
            <w:tcBorders>
              <w:top w:val="nil"/>
              <w:left w:val="nil"/>
              <w:bottom w:val="nil"/>
              <w:right w:val="nil"/>
            </w:tcBorders>
            <w:vAlign w:val="center"/>
          </w:tcPr>
          <w:p>
            <w:pPr>
              <w:jc w:val="left"/>
              <w:rPr>
                <w:rFonts w:hint="eastAsia" w:ascii="宋体" w:hAnsi="宋体" w:eastAsia="宋体" w:cs="宋体"/>
                <w:i w:val="0"/>
                <w:iCs w:val="0"/>
                <w:color w:val="000000"/>
                <w:sz w:val="24"/>
                <w:szCs w:val="24"/>
                <w:u w:val="none"/>
              </w:rPr>
            </w:pPr>
          </w:p>
        </w:tc>
        <w:tc>
          <w:tcPr>
            <w:tcW w:w="1503" w:type="dxa"/>
            <w:tcBorders>
              <w:top w:val="nil"/>
              <w:left w:val="nil"/>
              <w:bottom w:val="nil"/>
              <w:right w:val="nil"/>
            </w:tcBorders>
            <w:vAlign w:val="center"/>
          </w:tcPr>
          <w:p>
            <w:pPr>
              <w:jc w:val="left"/>
              <w:rPr>
                <w:rFonts w:hint="eastAsia" w:ascii="宋体" w:hAnsi="宋体" w:eastAsia="宋体" w:cs="宋体"/>
                <w:i w:val="0"/>
                <w:iCs w:val="0"/>
                <w:color w:val="000000"/>
                <w:sz w:val="24"/>
                <w:szCs w:val="24"/>
                <w:u w:val="none"/>
              </w:rPr>
            </w:pPr>
          </w:p>
        </w:tc>
        <w:tc>
          <w:tcPr>
            <w:tcW w:w="576" w:type="dxa"/>
            <w:tcBorders>
              <w:top w:val="nil"/>
              <w:left w:val="nil"/>
              <w:bottom w:val="nil"/>
              <w:right w:val="nil"/>
            </w:tcBorders>
            <w:vAlign w:val="center"/>
          </w:tcPr>
          <w:p>
            <w:pPr>
              <w:jc w:val="left"/>
              <w:rPr>
                <w:rFonts w:hint="eastAsia" w:ascii="宋体" w:hAnsi="宋体" w:eastAsia="宋体" w:cs="宋体"/>
                <w:i w:val="0"/>
                <w:iCs w:val="0"/>
                <w:color w:val="000000"/>
                <w:sz w:val="24"/>
                <w:szCs w:val="24"/>
                <w:u w:val="none"/>
              </w:rPr>
            </w:pPr>
          </w:p>
        </w:tc>
        <w:tc>
          <w:tcPr>
            <w:tcW w:w="1292" w:type="dxa"/>
            <w:tcBorders>
              <w:top w:val="nil"/>
              <w:left w:val="nil"/>
              <w:bottom w:val="nil"/>
              <w:right w:val="nil"/>
            </w:tcBorders>
            <w:vAlign w:val="center"/>
          </w:tcPr>
          <w:p>
            <w:pPr>
              <w:jc w:val="both"/>
              <w:rPr>
                <w:rFonts w:hint="eastAsia" w:ascii="宋体" w:hAnsi="宋体" w:eastAsia="宋体" w:cs="宋体"/>
                <w:i w:val="0"/>
                <w:iCs w:val="0"/>
                <w:color w:val="000000"/>
                <w:sz w:val="18"/>
                <w:szCs w:val="18"/>
                <w:u w:val="none"/>
              </w:rPr>
            </w:pPr>
          </w:p>
        </w:tc>
        <w:tc>
          <w:tcPr>
            <w:tcW w:w="1351" w:type="dxa"/>
            <w:tcBorders>
              <w:top w:val="nil"/>
              <w:left w:val="nil"/>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1199" w:type="dxa"/>
            <w:tcBorders>
              <w:top w:val="nil"/>
              <w:left w:val="nil"/>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1190" w:type="dxa"/>
            <w:tcBorders>
              <w:top w:val="nil"/>
              <w:left w:val="nil"/>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1098" w:type="dxa"/>
            <w:tcBorders>
              <w:top w:val="nil"/>
              <w:left w:val="nil"/>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1224" w:type="dxa"/>
            <w:tcBorders>
              <w:top w:val="nil"/>
              <w:left w:val="nil"/>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1098" w:type="dxa"/>
            <w:tcBorders>
              <w:top w:val="nil"/>
              <w:left w:val="nil"/>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vAlign w:val="bottom"/>
          </w:tcPr>
          <w:p>
            <w:pPr>
              <w:widowControl/>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3378"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科目编码</w:t>
            </w:r>
          </w:p>
        </w:tc>
        <w:tc>
          <w:tcPr>
            <w:tcW w:w="150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单位代码</w:t>
            </w:r>
          </w:p>
        </w:tc>
        <w:tc>
          <w:tcPr>
            <w:tcW w:w="57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单位（科目名称）</w:t>
            </w:r>
          </w:p>
        </w:tc>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总计</w:t>
            </w:r>
          </w:p>
        </w:tc>
        <w:tc>
          <w:tcPr>
            <w:tcW w:w="4838" w:type="dxa"/>
            <w:gridSpan w:val="4"/>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基本支出</w:t>
            </w:r>
          </w:p>
        </w:tc>
        <w:tc>
          <w:tcPr>
            <w:tcW w:w="3438"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7" w:hRule="atLeast"/>
        </w:trPr>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类</w:t>
            </w:r>
          </w:p>
        </w:tc>
        <w:tc>
          <w:tcPr>
            <w:tcW w:w="5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款</w:t>
            </w:r>
          </w:p>
        </w:tc>
        <w:tc>
          <w:tcPr>
            <w:tcW w:w="5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w:t>
            </w:r>
          </w:p>
        </w:tc>
        <w:tc>
          <w:tcPr>
            <w:tcW w:w="150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18"/>
                <w:szCs w:val="18"/>
                <w:u w:val="none"/>
              </w:rPr>
            </w:pPr>
          </w:p>
        </w:tc>
        <w:tc>
          <w:tcPr>
            <w:tcW w:w="57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18"/>
                <w:szCs w:val="18"/>
                <w:u w:val="none"/>
              </w:rPr>
            </w:pPr>
          </w:p>
        </w:tc>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18"/>
                <w:szCs w:val="18"/>
                <w:u w:val="none"/>
              </w:rPr>
            </w:pPr>
          </w:p>
        </w:tc>
        <w:tc>
          <w:tcPr>
            <w:tcW w:w="13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小计</w:t>
            </w:r>
          </w:p>
        </w:tc>
        <w:tc>
          <w:tcPr>
            <w:tcW w:w="11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行政人员经费</w:t>
            </w:r>
          </w:p>
        </w:tc>
        <w:tc>
          <w:tcPr>
            <w:tcW w:w="11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事业人员经费</w:t>
            </w:r>
          </w:p>
        </w:tc>
        <w:tc>
          <w:tcPr>
            <w:tcW w:w="10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公用经费</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小计</w:t>
            </w:r>
          </w:p>
        </w:tc>
        <w:tc>
          <w:tcPr>
            <w:tcW w:w="10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一般性项目</w:t>
            </w:r>
          </w:p>
        </w:tc>
        <w:tc>
          <w:tcPr>
            <w:tcW w:w="11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专项资金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2196"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p>
        </w:tc>
        <w:tc>
          <w:tcPr>
            <w:tcW w:w="591"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p>
        </w:tc>
        <w:tc>
          <w:tcPr>
            <w:tcW w:w="591"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p>
        </w:tc>
        <w:tc>
          <w:tcPr>
            <w:tcW w:w="1503" w:type="dxa"/>
            <w:tcBorders>
              <w:top w:val="nil"/>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p>
        </w:tc>
        <w:tc>
          <w:tcPr>
            <w:tcW w:w="576" w:type="dxa"/>
            <w:tcBorders>
              <w:top w:val="nil"/>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p>
        </w:tc>
        <w:tc>
          <w:tcPr>
            <w:tcW w:w="1292" w:type="dxa"/>
            <w:tcBorders>
              <w:top w:val="nil"/>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w:t>
            </w:r>
          </w:p>
        </w:tc>
        <w:tc>
          <w:tcPr>
            <w:tcW w:w="1351"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w:t>
            </w:r>
          </w:p>
        </w:tc>
        <w:tc>
          <w:tcPr>
            <w:tcW w:w="1199"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3</w:t>
            </w:r>
          </w:p>
        </w:tc>
        <w:tc>
          <w:tcPr>
            <w:tcW w:w="1190"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4</w:t>
            </w:r>
          </w:p>
        </w:tc>
        <w:tc>
          <w:tcPr>
            <w:tcW w:w="1098"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224"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w:t>
            </w:r>
          </w:p>
        </w:tc>
        <w:tc>
          <w:tcPr>
            <w:tcW w:w="1098"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7</w:t>
            </w:r>
          </w:p>
        </w:tc>
        <w:tc>
          <w:tcPr>
            <w:tcW w:w="1116" w:type="dxa"/>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2196" w:type="dxa"/>
            <w:tcBorders>
              <w:top w:val="single" w:color="000000" w:sz="4" w:space="0"/>
              <w:left w:val="single" w:color="000000" w:sz="4" w:space="0"/>
              <w:bottom w:val="single" w:color="000000" w:sz="4" w:space="0"/>
              <w:right w:val="nil"/>
            </w:tcBorders>
            <w:vAlign w:val="center"/>
          </w:tcPr>
          <w:p>
            <w:pPr>
              <w:jc w:val="center"/>
              <w:rPr>
                <w:rFonts w:hint="eastAsia" w:ascii="宋体" w:hAnsi="宋体" w:eastAsia="宋体" w:cs="宋体"/>
                <w:i w:val="0"/>
                <w:iCs w:val="0"/>
                <w:color w:val="000000"/>
                <w:sz w:val="18"/>
                <w:szCs w:val="18"/>
                <w:u w:val="none"/>
              </w:rPr>
            </w:pPr>
          </w:p>
        </w:tc>
        <w:tc>
          <w:tcPr>
            <w:tcW w:w="591" w:type="dxa"/>
            <w:tcBorders>
              <w:top w:val="single" w:color="000000" w:sz="4" w:space="0"/>
              <w:left w:val="single" w:color="000000" w:sz="4" w:space="0"/>
              <w:bottom w:val="single" w:color="000000" w:sz="4" w:space="0"/>
              <w:right w:val="nil"/>
            </w:tcBorders>
            <w:vAlign w:val="center"/>
          </w:tcPr>
          <w:p>
            <w:pPr>
              <w:jc w:val="center"/>
              <w:rPr>
                <w:rFonts w:hint="eastAsia" w:ascii="宋体" w:hAnsi="宋体" w:eastAsia="宋体" w:cs="宋体"/>
                <w:i w:val="0"/>
                <w:iCs w:val="0"/>
                <w:color w:val="000000"/>
                <w:sz w:val="18"/>
                <w:szCs w:val="18"/>
                <w:u w:val="none"/>
              </w:rPr>
            </w:pPr>
          </w:p>
        </w:tc>
        <w:tc>
          <w:tcPr>
            <w:tcW w:w="591" w:type="dxa"/>
            <w:tcBorders>
              <w:top w:val="single" w:color="000000" w:sz="4" w:space="0"/>
              <w:left w:val="single" w:color="000000" w:sz="4" w:space="0"/>
              <w:bottom w:val="single" w:color="000000" w:sz="4" w:space="0"/>
              <w:right w:val="nil"/>
            </w:tcBorders>
            <w:vAlign w:val="center"/>
          </w:tcPr>
          <w:p>
            <w:pPr>
              <w:jc w:val="center"/>
              <w:rPr>
                <w:rFonts w:hint="eastAsia" w:ascii="宋体" w:hAnsi="宋体" w:eastAsia="宋体" w:cs="宋体"/>
                <w:i w:val="0"/>
                <w:iCs w:val="0"/>
                <w:color w:val="000000"/>
                <w:sz w:val="18"/>
                <w:szCs w:val="18"/>
                <w:u w:val="none"/>
              </w:rPr>
            </w:pPr>
          </w:p>
        </w:tc>
        <w:tc>
          <w:tcPr>
            <w:tcW w:w="1503" w:type="dxa"/>
            <w:tcBorders>
              <w:top w:val="single" w:color="000000" w:sz="4" w:space="0"/>
              <w:left w:val="single" w:color="000000" w:sz="4" w:space="0"/>
              <w:bottom w:val="single" w:color="000000" w:sz="4" w:space="0"/>
              <w:right w:val="nil"/>
            </w:tcBorders>
            <w:vAlign w:val="center"/>
          </w:tcPr>
          <w:p>
            <w:pP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合计</w:t>
            </w:r>
          </w:p>
        </w:tc>
        <w:tc>
          <w:tcPr>
            <w:tcW w:w="1292"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285.20 </w:t>
            </w:r>
          </w:p>
        </w:tc>
        <w:tc>
          <w:tcPr>
            <w:tcW w:w="1351" w:type="dxa"/>
            <w:tcBorders>
              <w:top w:val="single" w:color="000000" w:sz="4" w:space="0"/>
              <w:left w:val="nil"/>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5.20 </w:t>
            </w:r>
          </w:p>
        </w:tc>
        <w:tc>
          <w:tcPr>
            <w:tcW w:w="1199" w:type="dxa"/>
            <w:tcBorders>
              <w:top w:val="single" w:color="000000" w:sz="4" w:space="0"/>
              <w:left w:val="nil"/>
              <w:bottom w:val="single" w:color="000000" w:sz="4" w:space="0"/>
              <w:right w:val="nil"/>
            </w:tcBorders>
            <w:vAlign w:val="center"/>
          </w:tcPr>
          <w:p>
            <w:pPr>
              <w:jc w:val="right"/>
              <w:rPr>
                <w:rFonts w:hint="eastAsia" w:ascii="宋体" w:hAnsi="宋体" w:eastAsia="宋体" w:cs="宋体"/>
                <w:i w:val="0"/>
                <w:iCs w:val="0"/>
                <w:color w:val="000000"/>
                <w:sz w:val="18"/>
                <w:szCs w:val="18"/>
                <w:u w:val="none"/>
              </w:rPr>
            </w:pPr>
          </w:p>
        </w:tc>
        <w:tc>
          <w:tcPr>
            <w:tcW w:w="1190" w:type="dxa"/>
            <w:tcBorders>
              <w:top w:val="single" w:color="000000" w:sz="4" w:space="0"/>
              <w:left w:val="single" w:color="000000" w:sz="4" w:space="0"/>
              <w:bottom w:val="single" w:color="000000" w:sz="4" w:space="0"/>
              <w:right w:val="nil"/>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5.20 </w:t>
            </w:r>
          </w:p>
        </w:tc>
        <w:tc>
          <w:tcPr>
            <w:tcW w:w="1098" w:type="dxa"/>
            <w:tcBorders>
              <w:top w:val="single" w:color="000000" w:sz="4" w:space="0"/>
              <w:left w:val="single" w:color="000000" w:sz="4" w:space="0"/>
              <w:bottom w:val="single" w:color="000000" w:sz="4" w:space="0"/>
              <w:right w:val="nil"/>
            </w:tcBorders>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280.00 </w:t>
            </w:r>
          </w:p>
        </w:tc>
        <w:tc>
          <w:tcPr>
            <w:tcW w:w="1098"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180.00 </w:t>
            </w:r>
          </w:p>
        </w:tc>
        <w:tc>
          <w:tcPr>
            <w:tcW w:w="11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21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208</w:t>
            </w:r>
          </w:p>
        </w:tc>
        <w:tc>
          <w:tcPr>
            <w:tcW w:w="59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w:t>
            </w:r>
          </w:p>
        </w:tc>
        <w:tc>
          <w:tcPr>
            <w:tcW w:w="59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04</w:t>
            </w:r>
          </w:p>
        </w:tc>
        <w:tc>
          <w:tcPr>
            <w:tcW w:w="1503" w:type="dxa"/>
            <w:tcBorders>
              <w:top w:val="single" w:color="000000" w:sz="4" w:space="0"/>
              <w:left w:val="single" w:color="000000" w:sz="4" w:space="0"/>
              <w:bottom w:val="single" w:color="000000" w:sz="4" w:space="0"/>
              <w:right w:val="nil"/>
            </w:tcBorders>
            <w:vAlign w:val="center"/>
          </w:tcPr>
          <w:p>
            <w:pPr>
              <w:widowControl/>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[301006]邓州市殡仪馆</w:t>
            </w:r>
          </w:p>
        </w:tc>
        <w:tc>
          <w:tcPr>
            <w:tcW w:w="576" w:type="dxa"/>
            <w:tcBorders>
              <w:top w:val="single" w:color="000000" w:sz="4" w:space="0"/>
              <w:left w:val="single" w:color="000000" w:sz="4" w:space="0"/>
              <w:bottom w:val="single" w:color="000000" w:sz="4" w:space="0"/>
              <w:right w:val="nil"/>
            </w:tcBorders>
            <w:vAlign w:val="center"/>
          </w:tcPr>
          <w:p>
            <w:pPr>
              <w:widowControl/>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殡葬</w:t>
            </w:r>
          </w:p>
        </w:tc>
        <w:tc>
          <w:tcPr>
            <w:tcW w:w="1292"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285.20 </w:t>
            </w:r>
          </w:p>
        </w:tc>
        <w:tc>
          <w:tcPr>
            <w:tcW w:w="1351" w:type="dxa"/>
            <w:tcBorders>
              <w:top w:val="single" w:color="000000" w:sz="4" w:space="0"/>
              <w:left w:val="nil"/>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5.20 </w:t>
            </w:r>
          </w:p>
        </w:tc>
        <w:tc>
          <w:tcPr>
            <w:tcW w:w="1199" w:type="dxa"/>
            <w:tcBorders>
              <w:top w:val="single" w:color="000000" w:sz="4" w:space="0"/>
              <w:left w:val="nil"/>
              <w:bottom w:val="single" w:color="000000" w:sz="4" w:space="0"/>
              <w:right w:val="nil"/>
            </w:tcBorders>
            <w:vAlign w:val="center"/>
          </w:tcPr>
          <w:p>
            <w:pPr>
              <w:jc w:val="right"/>
              <w:rPr>
                <w:rFonts w:hint="eastAsia" w:ascii="宋体" w:hAnsi="宋体" w:eastAsia="宋体" w:cs="宋体"/>
                <w:i w:val="0"/>
                <w:iCs w:val="0"/>
                <w:color w:val="000000"/>
                <w:sz w:val="18"/>
                <w:szCs w:val="18"/>
                <w:u w:val="none"/>
              </w:rPr>
            </w:pPr>
          </w:p>
        </w:tc>
        <w:tc>
          <w:tcPr>
            <w:tcW w:w="1190" w:type="dxa"/>
            <w:tcBorders>
              <w:top w:val="single" w:color="000000" w:sz="4" w:space="0"/>
              <w:left w:val="single" w:color="000000" w:sz="4" w:space="0"/>
              <w:bottom w:val="single" w:color="000000" w:sz="4" w:space="0"/>
              <w:right w:val="nil"/>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5.20 </w:t>
            </w:r>
          </w:p>
        </w:tc>
        <w:tc>
          <w:tcPr>
            <w:tcW w:w="1098" w:type="dxa"/>
            <w:tcBorders>
              <w:top w:val="single" w:color="000000" w:sz="4" w:space="0"/>
              <w:left w:val="single" w:color="000000" w:sz="4" w:space="0"/>
              <w:bottom w:val="single" w:color="000000" w:sz="4" w:space="0"/>
              <w:right w:val="nil"/>
            </w:tcBorders>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280.00 </w:t>
            </w:r>
          </w:p>
        </w:tc>
        <w:tc>
          <w:tcPr>
            <w:tcW w:w="1098"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180.00 </w:t>
            </w:r>
          </w:p>
        </w:tc>
        <w:tc>
          <w:tcPr>
            <w:tcW w:w="111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100.00 </w:t>
            </w:r>
          </w:p>
        </w:tc>
      </w:tr>
    </w:tbl>
    <w:p>
      <w:pPr>
        <w:ind w:left="0" w:leftChars="0" w:firstLine="0" w:firstLineChars="0"/>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sectPr>
          <w:pgSz w:w="16838" w:h="11906" w:orient="landscape"/>
          <w:pgMar w:top="1134" w:right="1134" w:bottom="1134" w:left="1134" w:header="851" w:footer="992" w:gutter="0"/>
          <w:cols w:space="720" w:num="1"/>
          <w:docGrid w:type="lines" w:linePitch="312" w:charSpace="0"/>
        </w:sect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7" o:spt="75" type="#_x0000_t75" style="height:634pt;width:496.75pt;" o:ole="t" filled="f" o:preferrelative="t" stroked="f" coordsize="21600,21600">
            <v:path/>
            <v:fill on="f" focussize="0,0"/>
            <v:stroke on="f"/>
            <v:imagedata r:id="rId10" blacklevel="0f" o:title=""/>
            <o:lock v:ext="edit" aspectratio="f"/>
            <w10:wrap type="none"/>
            <w10:anchorlock/>
          </v:shape>
          <o:OLEObject Type="Embed" ProgID="Excel.Sheet.12" ShapeID="_x0000_i1027" DrawAspect="Content" ObjectID="_1468075727" r:id="rId9">
            <o:LockedField>false</o:LockedField>
          </o:OLEObject>
        </w:object>
      </w:r>
    </w:p>
    <w:p>
      <w:pPr>
        <w:rPr>
          <w:rFonts w:ascii="仿宋_GB2312" w:hAnsi="宋体" w:eastAsia="仿宋_GB2312"/>
          <w:sz w:val="32"/>
          <w:szCs w:val="32"/>
        </w:rPr>
      </w:pPr>
    </w:p>
    <w:p>
      <w:pPr>
        <w:ind w:left="0" w:leftChars="0" w:firstLine="0" w:firstLineChars="0"/>
        <w:rPr>
          <w:rFonts w:ascii="仿宋_GB2312" w:hAnsi="宋体" w:eastAsia="仿宋_GB2312"/>
          <w:sz w:val="32"/>
          <w:szCs w:val="32"/>
        </w:rPr>
        <w:sectPr>
          <w:pgSz w:w="11906" w:h="16838"/>
          <w:pgMar w:top="1134" w:right="1134" w:bottom="1134" w:left="1134" w:header="851" w:footer="992" w:gutter="0"/>
          <w:cols w:space="720" w:num="1"/>
          <w:docGrid w:type="lines" w:linePitch="312" w:charSpace="0"/>
        </w:sect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8" o:spt="75" type="#_x0000_t75" style="height:300.5pt;width:738.5pt;" o:ole="t" fillcolor="#FFFFFF" filled="f" o:preferrelative="t" stroked="f" coordsize="21600,21600">
            <v:path/>
            <v:fill on="f" color2="#FFFFFF" focussize="0,0"/>
            <v:stroke on="f"/>
            <v:imagedata r:id="rId12" gain="65536f" blacklevel="0f" gamma="0" o:title=""/>
            <o:lock v:ext="edit" position="f" selection="f" grouping="f" rotation="f" cropping="f" text="f" aspectratio="f"/>
            <w10:wrap type="none"/>
            <w10:anchorlock/>
          </v:shape>
          <o:OLEObject Type="Embed" ProgID="Excel.Sheet.12" ShapeID="_x0000_i1028" DrawAspect="Content" ObjectID="_1468075728" r:id="rId11">
            <o:LockedField>false</o:LockedField>
          </o:OLEObject>
        </w:object>
      </w: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29" o:spt="75" type="#_x0000_t75" style="height:317.8pt;width:728.8pt;" o:ole="t" fillcolor="#FFFFFF" filled="f" o:preferrelative="t" stroked="f" coordsize="21600,21600">
            <v:path/>
            <v:fill on="f" color2="#FFFFFF" focussize="0,0"/>
            <v:stroke on="f"/>
            <v:imagedata r:id="rId14" gain="65536f" blacklevel="0f" gamma="0" o:title=""/>
            <o:lock v:ext="edit" position="f" selection="f" grouping="f" rotation="f" cropping="f" text="f" aspectratio="f"/>
            <w10:wrap type="none"/>
            <w10:anchorlock/>
          </v:shape>
          <o:OLEObject Type="Embed" ProgID="Excel.Sheet.12" ShapeID="_x0000_i1029" DrawAspect="Content" ObjectID="_1468075729" r:id="rId13">
            <o:LockedField>false</o:LockedField>
          </o:OLEObject>
        </w:object>
      </w: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30" o:spt="75" type="#_x0000_t75" style="height:475.3pt;width:737.4pt;" o:ole="t" fillcolor="#FFFFFF" filled="f" o:preferrelative="t" stroked="f" coordsize="21600,21600">
            <v:path/>
            <v:fill on="f" color2="#FFFFFF" focussize="0,0"/>
            <v:stroke on="f"/>
            <v:imagedata r:id="rId16" gain="65536f" blacklevel="0f" gamma="0" o:title=""/>
            <o:lock v:ext="edit" position="f" selection="f" grouping="f" rotation="f" cropping="f" text="f" aspectratio="f"/>
            <w10:wrap type="none"/>
            <w10:anchorlock/>
          </v:shape>
          <o:OLEObject Type="Embed" ProgID="Excel.Sheet.12" ShapeID="_x0000_i1030" DrawAspect="Content" ObjectID="_1468075730" r:id="rId15">
            <o:LockedField>false</o:LockedField>
          </o:OLEObject>
        </w:object>
      </w:r>
      <w:r>
        <w:rPr>
          <w:rFonts w:ascii="仿宋_GB2312" w:hAnsi="宋体" w:eastAsia="仿宋_GB2312" w:cs="黑体"/>
          <w:kern w:val="2"/>
          <w:sz w:val="32"/>
          <w:szCs w:val="32"/>
          <w:lang w:val="en-US" w:eastAsia="zh-CN" w:bidi="ar-SA"/>
        </w:rPr>
        <w:object>
          <v:shape id="_x0000_i1031" o:spt="75" type="#_x0000_t75" style="height:268pt;width:742.25pt;" o:ole="t" fillcolor="#FFFFFF" filled="f" o:preferrelative="t" stroked="f" coordsize="21600,21600">
            <v:path/>
            <v:fill on="f" color2="#FFFFFF" focussize="0,0"/>
            <v:stroke on="f"/>
            <v:imagedata r:id="rId18" gain="65536f" blacklevel="0f" gamma="0" o:title=""/>
            <o:lock v:ext="edit" position="f" selection="f" grouping="f" rotation="f" cropping="f" text="f" aspectratio="f"/>
            <w10:wrap type="none"/>
            <w10:anchorlock/>
          </v:shape>
          <o:OLEObject Type="Embed" ProgID="Excel.Sheet.12" ShapeID="_x0000_i1031" DrawAspect="Content" ObjectID="_1468075731" r:id="rId17">
            <o:LockedField>false</o:LockedField>
          </o:OLEObject>
        </w:object>
      </w: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firstLine="426"/>
        <w:rPr>
          <w:rFonts w:ascii="仿宋_GB2312" w:hAnsi="宋体" w:eastAsia="仿宋_GB2312"/>
          <w:sz w:val="32"/>
          <w:szCs w:val="32"/>
        </w:rPr>
      </w:pPr>
    </w:p>
    <w:p>
      <w:pPr>
        <w:ind w:left="0" w:leftChars="0" w:firstLine="0" w:firstLineChars="0"/>
        <w:rPr>
          <w:rFonts w:ascii="仿宋_GB2312" w:hAnsi="宋体" w:eastAsia="仿宋_GB2312"/>
          <w:sz w:val="32"/>
          <w:szCs w:val="32"/>
        </w:rPr>
      </w:pPr>
      <w:r>
        <w:rPr>
          <w:rFonts w:ascii="仿宋_GB2312" w:hAnsi="宋体" w:eastAsia="仿宋_GB2312" w:cs="黑体"/>
          <w:kern w:val="2"/>
          <w:sz w:val="32"/>
          <w:szCs w:val="32"/>
          <w:lang w:val="en-US" w:eastAsia="zh-CN" w:bidi="ar-SA"/>
        </w:rPr>
        <w:object>
          <v:shape id="_x0000_i1032" o:spt="75" type="#_x0000_t75" style="height:304.55pt;width:745.35pt;" o:ole="t" filled="f" o:preferrelative="t" stroked="f" coordsize="21600,21600">
            <v:path/>
            <v:fill on="f" focussize="0,0"/>
            <v:stroke on="f"/>
            <v:imagedata r:id="rId20" blacklevel="0f" o:title=""/>
            <o:lock v:ext="edit" aspectratio="f"/>
            <w10:wrap type="none"/>
            <w10:anchorlock/>
          </v:shape>
          <o:OLEObject Type="Embed" ProgID="Excel.Sheet.12" ShapeID="_x0000_i1032" DrawAspect="Content" ObjectID="_1468075732" r:id="rId19">
            <o:LockedField>false</o:LockedField>
          </o:OLEObject>
        </w:object>
      </w:r>
    </w:p>
    <w:p>
      <w:pPr>
        <w:ind w:firstLine="426"/>
        <w:rPr>
          <w:rFonts w:ascii="仿宋_GB2312" w:hAnsi="宋体" w:eastAsia="仿宋_GB2312"/>
          <w:sz w:val="32"/>
          <w:szCs w:val="32"/>
        </w:rPr>
      </w:pPr>
    </w:p>
    <w:p>
      <w:pPr>
        <w:ind w:firstLine="426"/>
        <w:rPr>
          <w:rFonts w:ascii="仿宋_GB2312" w:hAnsi="宋体" w:eastAsia="仿宋_GB2312"/>
          <w:sz w:val="32"/>
          <w:szCs w:val="32"/>
        </w:rPr>
      </w:pPr>
    </w:p>
    <w:sectPr>
      <w:pgSz w:w="16838" w:h="11906" w:orient="landscape"/>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Calibri" w:hAnsi="Calibri" w:eastAsia="宋体" w:cs="黑体"/>
        <w:kern w:val="2"/>
        <w:sz w:val="18"/>
        <w:szCs w:val="18"/>
        <w:lang w:val="en-US" w:eastAsia="zh-CN" w:bidi="ar-SA"/>
      </w:rPr>
      <w:pict>
        <v:rect id="文本框 1" o:spid="_x0000_s4097"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23AB1"/>
    <w:multiLevelType w:val="multilevel"/>
    <w:tmpl w:val="10A23AB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JlM2JkZDM1ZGE5NjIyMjE1NmE0MzM4MGY3MDdiMzUifQ=="/>
  </w:docVars>
  <w:rsids>
    <w:rsidRoot w:val="00000000"/>
    <w:rsid w:val="0C153E9B"/>
    <w:rsid w:val="11DF5AF8"/>
    <w:rsid w:val="162B6DB7"/>
    <w:rsid w:val="179F4765"/>
    <w:rsid w:val="1ABF7180"/>
    <w:rsid w:val="1B672442"/>
    <w:rsid w:val="1D14583E"/>
    <w:rsid w:val="2CE42674"/>
    <w:rsid w:val="378C605C"/>
    <w:rsid w:val="42B314E1"/>
    <w:rsid w:val="588D5159"/>
    <w:rsid w:val="5A4E1473"/>
    <w:rsid w:val="5FE2332C"/>
    <w:rsid w:val="613D1187"/>
    <w:rsid w:val="6B822E84"/>
    <w:rsid w:val="7C30078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List Paragraph"/>
    <w:basedOn w:val="1"/>
    <w:qFormat/>
    <w:uiPriority w:val="34"/>
    <w:pPr>
      <w:ind w:firstLine="420"/>
    </w:pPr>
  </w:style>
  <w:style w:type="paragraph" w:customStyle="1" w:styleId="8">
    <w:name w:val="Normal_7"/>
    <w:qFormat/>
    <w:uiPriority w:val="0"/>
    <w:pPr>
      <w:spacing w:before="120" w:after="240"/>
      <w:jc w:val="both"/>
    </w:pPr>
    <w:rPr>
      <w:rFonts w:ascii="Calibri" w:hAnsi="Calibri" w:eastAsia="Calibri" w:cs="黑体"/>
      <w:sz w:val="22"/>
      <w:szCs w:val="22"/>
      <w:lang w:val="en-US" w:eastAsia="en-US" w:bidi="ar-SA"/>
    </w:rPr>
  </w:style>
  <w:style w:type="character" w:customStyle="1" w:styleId="9">
    <w:name w:val="页眉 Char Char"/>
    <w:basedOn w:val="6"/>
    <w:link w:val="4"/>
    <w:qFormat/>
    <w:uiPriority w:val="99"/>
    <w:rPr>
      <w:sz w:val="18"/>
      <w:szCs w:val="18"/>
    </w:rPr>
  </w:style>
  <w:style w:type="character" w:customStyle="1" w:styleId="10">
    <w:name w:val="页脚 Char Char"/>
    <w:basedOn w:val="6"/>
    <w:link w:val="3"/>
    <w:qFormat/>
    <w:uiPriority w:val="99"/>
    <w:rPr>
      <w:sz w:val="18"/>
      <w:szCs w:val="18"/>
    </w:rPr>
  </w:style>
  <w:style w:type="character" w:customStyle="1" w:styleId="11">
    <w:name w:val="批注框文本 Char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16</Pages>
  <Words>2640</Words>
  <Characters>2860</Characters>
  <Lines>21</Lines>
  <Paragraphs>6</Paragraphs>
  <TotalTime>0</TotalTime>
  <ScaleCrop>false</ScaleCrop>
  <LinksUpToDate>false</LinksUpToDate>
  <CharactersWithSpaces>2890</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2019-09-16T03:24:00Z</dcterms:created>
  <dc:creator>null,null,总收发</dc:creator>
  <cp:lastModifiedBy>琳琳小不点儿</cp:lastModifiedBy>
  <cp:lastPrinted>2022-05-18T02:02:00Z</cp:lastPrinted>
  <dcterms:modified xsi:type="dcterms:W3CDTF">2022-09-02T01:40:27Z</dcterms:modified>
  <dc:title>邓州市2021年殡仪馆单位预算基本情况说明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F32E72EA596642AC89348D241EFAF5C2</vt:lpwstr>
  </property>
</Properties>
</file>