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lang w:val="en-US" w:eastAsia="zh-CN"/>
        </w:rPr>
        <w:t>邓州市</w:t>
      </w:r>
      <w:r>
        <w:rPr>
          <w:rFonts w:hint="eastAsia" w:ascii="方正小标宋简体" w:hAnsi="黑体" w:eastAsia="方正小标宋简体"/>
          <w:w w:val="90"/>
          <w:sz w:val="44"/>
          <w:szCs w:val="32"/>
        </w:rPr>
        <w:t>2021年中心医院</w:t>
      </w:r>
      <w:r>
        <w:rPr>
          <w:rFonts w:hint="eastAsia" w:ascii="方正小标宋简体" w:hAnsi="黑体" w:eastAsia="方正小标宋简体"/>
          <w:w w:val="90"/>
          <w:sz w:val="44"/>
          <w:szCs w:val="32"/>
          <w:lang w:eastAsia="zh-CN"/>
        </w:rPr>
        <w:t>单位</w:t>
      </w:r>
      <w:r>
        <w:rPr>
          <w:rFonts w:hint="eastAsia" w:ascii="方正小标宋简体" w:hAnsi="黑体" w:eastAsia="方正小标宋简体"/>
          <w:w w:val="90"/>
          <w:sz w:val="44"/>
          <w:szCs w:val="32"/>
        </w:rPr>
        <w:t>预算</w:t>
      </w:r>
    </w:p>
    <w:p>
      <w:pPr>
        <w:jc w:val="center"/>
        <w:rPr>
          <w:rFonts w:ascii="宋体" w:hAnsi="宋体" w:eastAsia="宋体"/>
          <w:b/>
          <w:sz w:val="28"/>
          <w:szCs w:val="32"/>
        </w:rPr>
      </w:pPr>
      <w:r>
        <w:rPr>
          <w:rFonts w:hint="eastAsia" w:ascii="方正小标宋简体" w:hAnsi="黑体" w:eastAsia="方正小标宋简体"/>
          <w:w w:val="90"/>
          <w:sz w:val="44"/>
          <w:szCs w:val="32"/>
        </w:rPr>
        <w:t>基本情况说明</w:t>
      </w:r>
    </w:p>
    <w:p>
      <w:pPr>
        <w:spacing w:line="600" w:lineRule="exact"/>
        <w:jc w:val="center"/>
        <w:rPr>
          <w:rFonts w:ascii="黑体" w:hAnsi="宋体" w:eastAsia="黑体"/>
          <w:sz w:val="36"/>
          <w:szCs w:val="32"/>
        </w:rPr>
      </w:pPr>
      <w:r>
        <w:rPr>
          <w:rFonts w:hint="eastAsia" w:ascii="黑体" w:hAnsi="宋体" w:eastAsia="黑体"/>
          <w:sz w:val="36"/>
          <w:szCs w:val="32"/>
        </w:rPr>
        <w:t>目  录</w:t>
      </w:r>
    </w:p>
    <w:p>
      <w:pPr>
        <w:spacing w:beforeLines="100" w:line="600" w:lineRule="exact"/>
        <w:jc w:val="left"/>
        <w:rPr>
          <w:rFonts w:ascii="黑体" w:hAnsi="宋体" w:eastAsia="黑体"/>
          <w:sz w:val="32"/>
          <w:szCs w:val="32"/>
        </w:rPr>
      </w:pPr>
      <w:r>
        <w:rPr>
          <w:rFonts w:hint="eastAsia" w:ascii="黑体" w:hAnsi="宋体" w:eastAsia="黑体"/>
          <w:sz w:val="32"/>
          <w:szCs w:val="32"/>
        </w:rPr>
        <w:t>第一部分  邓州市中心医院概况</w:t>
      </w:r>
    </w:p>
    <w:p>
      <w:pPr>
        <w:pStyle w:val="10"/>
        <w:spacing w:line="600" w:lineRule="exact"/>
        <w:ind w:firstLine="0"/>
        <w:jc w:val="left"/>
        <w:rPr>
          <w:rFonts w:ascii="仿宋_GB2312" w:hAnsi="宋体" w:eastAsia="仿宋_GB2312"/>
          <w:sz w:val="32"/>
          <w:szCs w:val="32"/>
        </w:rPr>
      </w:pPr>
      <w:r>
        <w:rPr>
          <w:rFonts w:hint="eastAsia" w:ascii="仿宋_GB2312" w:hAnsi="宋体" w:eastAsia="仿宋_GB2312"/>
          <w:sz w:val="32"/>
          <w:szCs w:val="32"/>
        </w:rPr>
        <w:t>一、主要职责</w:t>
      </w:r>
    </w:p>
    <w:p>
      <w:pPr>
        <w:pStyle w:val="10"/>
        <w:spacing w:line="600" w:lineRule="exact"/>
        <w:ind w:left="0" w:leftChars="0" w:firstLine="0" w:firstLineChars="0"/>
        <w:jc w:val="left"/>
        <w:rPr>
          <w:rFonts w:ascii="仿宋_GB2312" w:hAnsi="宋体" w:eastAsia="仿宋_GB2312"/>
          <w:sz w:val="32"/>
          <w:szCs w:val="32"/>
        </w:rPr>
      </w:pPr>
      <w:r>
        <w:rPr>
          <w:rFonts w:hint="eastAsia" w:ascii="仿宋_GB2312" w:hAnsi="宋体" w:eastAsia="仿宋_GB2312"/>
          <w:sz w:val="32"/>
          <w:szCs w:val="32"/>
        </w:rPr>
        <w:t>二、机构设置情况</w:t>
      </w:r>
    </w:p>
    <w:p>
      <w:pPr>
        <w:spacing w:line="600" w:lineRule="exact"/>
        <w:jc w:val="left"/>
        <w:rPr>
          <w:rFonts w:ascii="黑体" w:hAnsi="宋体" w:eastAsia="黑体"/>
          <w:sz w:val="32"/>
          <w:szCs w:val="32"/>
        </w:rPr>
      </w:pPr>
      <w:r>
        <w:rPr>
          <w:rFonts w:hint="eastAsia" w:ascii="黑体" w:hAnsi="宋体" w:eastAsia="黑体"/>
          <w:sz w:val="32"/>
          <w:szCs w:val="32"/>
        </w:rPr>
        <w:t>第二部分 邓州市中心医院2021年</w:t>
      </w:r>
      <w:r>
        <w:rPr>
          <w:rFonts w:hint="eastAsia" w:ascii="黑体" w:hAnsi="宋体" w:eastAsia="黑体"/>
          <w:sz w:val="32"/>
          <w:szCs w:val="32"/>
          <w:lang w:eastAsia="zh-CN"/>
        </w:rPr>
        <w:t>单位</w:t>
      </w:r>
      <w:r>
        <w:rPr>
          <w:rFonts w:hint="eastAsia" w:ascii="黑体" w:hAnsi="宋体" w:eastAsia="黑体"/>
          <w:sz w:val="32"/>
          <w:szCs w:val="32"/>
        </w:rPr>
        <w:t>预算情况说明</w:t>
      </w:r>
    </w:p>
    <w:p>
      <w:pPr>
        <w:spacing w:line="600" w:lineRule="exact"/>
        <w:jc w:val="left"/>
        <w:rPr>
          <w:rFonts w:ascii="黑体" w:hAnsi="宋体" w:eastAsia="黑体"/>
          <w:sz w:val="32"/>
          <w:szCs w:val="32"/>
        </w:rPr>
      </w:pPr>
      <w:r>
        <w:rPr>
          <w:rFonts w:hint="eastAsia" w:ascii="黑体" w:hAnsi="宋体" w:eastAsia="黑体"/>
          <w:sz w:val="32"/>
          <w:szCs w:val="32"/>
        </w:rPr>
        <w:t>第三部分 名词解释</w:t>
      </w:r>
    </w:p>
    <w:p>
      <w:pPr>
        <w:spacing w:line="600" w:lineRule="exact"/>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w:t>
      </w:r>
      <w:r>
        <w:rPr>
          <w:rFonts w:hint="eastAsia" w:ascii="仿宋_GB2312" w:hAnsi="宋体" w:eastAsia="仿宋_GB2312"/>
          <w:sz w:val="32"/>
          <w:szCs w:val="32"/>
          <w:lang w:val="en-US" w:eastAsia="zh-CN"/>
        </w:rPr>
        <w:t>单位</w:t>
      </w:r>
      <w:r>
        <w:rPr>
          <w:rFonts w:hint="eastAsia" w:ascii="仿宋_GB2312" w:hAnsi="宋体" w:eastAsia="仿宋_GB2312"/>
          <w:sz w:val="32"/>
          <w:szCs w:val="32"/>
        </w:rPr>
        <w:t>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pacing w:line="600" w:lineRule="exact"/>
        <w:jc w:val="center"/>
        <w:rPr>
          <w:rFonts w:hint="eastAsia" w:ascii="黑体" w:hAnsi="宋体" w:eastAsia="黑体"/>
          <w:sz w:val="32"/>
          <w:szCs w:val="32"/>
        </w:rPr>
      </w:pPr>
    </w:p>
    <w:p>
      <w:pPr>
        <w:spacing w:line="600" w:lineRule="exact"/>
        <w:jc w:val="center"/>
        <w:rPr>
          <w:rFonts w:hint="eastAsia" w:ascii="黑体" w:hAnsi="宋体" w:eastAsia="黑体"/>
          <w:sz w:val="32"/>
          <w:szCs w:val="32"/>
        </w:rPr>
      </w:pPr>
    </w:p>
    <w:p>
      <w:pPr>
        <w:spacing w:line="600" w:lineRule="exact"/>
        <w:jc w:val="center"/>
        <w:rPr>
          <w:rFonts w:ascii="黑体" w:hAnsi="宋体" w:eastAsia="黑体"/>
          <w:sz w:val="32"/>
          <w:szCs w:val="32"/>
        </w:rPr>
      </w:pPr>
      <w:r>
        <w:rPr>
          <w:rFonts w:hint="eastAsia" w:ascii="黑体" w:hAnsi="宋体" w:eastAsia="黑体"/>
          <w:sz w:val="32"/>
          <w:szCs w:val="32"/>
        </w:rPr>
        <w:t>第一部分</w:t>
      </w:r>
    </w:p>
    <w:p>
      <w:pPr>
        <w:jc w:val="center"/>
        <w:rPr>
          <w:rFonts w:hint="eastAsia"/>
        </w:rPr>
      </w:pPr>
      <w:r>
        <w:rPr>
          <w:rFonts w:hint="eastAsia" w:ascii="黑体" w:hAnsi="宋体" w:eastAsia="黑体"/>
          <w:sz w:val="32"/>
          <w:szCs w:val="32"/>
        </w:rPr>
        <w:t>邓州市中心医院概况</w:t>
      </w:r>
    </w:p>
    <w:p>
      <w:pPr>
        <w:jc w:val="both"/>
        <w:rPr>
          <w:rFonts w:hint="eastAsia" w:ascii="黑体" w:hAnsi="宋体" w:eastAsia="黑体"/>
          <w:sz w:val="32"/>
          <w:szCs w:val="32"/>
        </w:rPr>
      </w:pPr>
      <w:r>
        <w:rPr>
          <w:rFonts w:hint="eastAsia" w:ascii="黑体" w:hAnsi="宋体" w:eastAsia="黑体"/>
          <w:sz w:val="32"/>
          <w:szCs w:val="32"/>
          <w:lang w:val="en-US" w:eastAsia="zh-CN"/>
        </w:rPr>
        <w:t xml:space="preserve">     </w:t>
      </w:r>
      <w:r>
        <w:rPr>
          <w:rFonts w:hint="eastAsia" w:ascii="黑体" w:hAnsi="宋体" w:eastAsia="黑体"/>
          <w:sz w:val="32"/>
          <w:szCs w:val="32"/>
        </w:rPr>
        <w:t>一、主要职责</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作为全市医疗业务技术中心，承担辖区内常见病、多发病的诊治任务，开展三级综合医院各项服务，承担急危重症抢救和复杂疑难病症诊治任务；</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作为邓州市120急救中心，承担120急救任务和各类突发事故的现场抢救和院内急救；</w:t>
      </w:r>
    </w:p>
    <w:p>
      <w:pPr>
        <w:numPr>
          <w:ilvl w:val="0"/>
          <w:numId w:val="1"/>
        </w:numPr>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接受下级医疗卫生机构的转诊，指导基层医疗卫生机构做好医疗康复、预防保健等业务技术工作；</w:t>
      </w:r>
    </w:p>
    <w:p>
      <w:pPr>
        <w:numPr>
          <w:ilvl w:val="0"/>
          <w:numId w:val="1"/>
        </w:numPr>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贯彻执行传染病预防诊治和管理工作，开展健康教育，进行防病指导；</w:t>
      </w:r>
    </w:p>
    <w:p>
      <w:pPr>
        <w:numPr>
          <w:ilvl w:val="0"/>
          <w:numId w:val="1"/>
        </w:numPr>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承担基层医疗卫生机构卫生技术人员的进修和培训，承担医学院校临床教学、实习任务；</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承担市委市政府及卫健委下达其他任务。</w:t>
      </w:r>
    </w:p>
    <w:p>
      <w:pPr>
        <w:spacing w:line="600" w:lineRule="exact"/>
        <w:ind w:firstLine="640" w:firstLineChars="200"/>
        <w:rPr>
          <w:rFonts w:hint="eastAsia" w:ascii="黑体" w:eastAsia="黑体"/>
          <w:sz w:val="32"/>
          <w:szCs w:val="32"/>
        </w:rPr>
      </w:pPr>
      <w:r>
        <w:rPr>
          <w:rFonts w:hint="eastAsia" w:ascii="黑体" w:eastAsia="黑体"/>
          <w:sz w:val="32"/>
          <w:szCs w:val="32"/>
        </w:rPr>
        <w:t>二、单位预算构成情况</w:t>
      </w:r>
    </w:p>
    <w:p>
      <w:pPr>
        <w:ind w:firstLine="640" w:firstLineChars="200"/>
        <w:rPr>
          <w:rFonts w:ascii="黑体" w:hAnsi="宋体" w:eastAsia="黑体"/>
          <w:sz w:val="32"/>
          <w:szCs w:val="32"/>
        </w:rPr>
      </w:pPr>
      <w:r>
        <w:rPr>
          <w:rFonts w:hint="eastAsia" w:ascii="仿宋" w:hAnsi="仿宋" w:eastAsia="仿宋" w:cs="仿宋"/>
          <w:sz w:val="32"/>
          <w:szCs w:val="32"/>
        </w:rPr>
        <w:t>邓州市中心医院</w:t>
      </w:r>
      <w:r>
        <w:rPr>
          <w:rFonts w:hint="eastAsia" w:ascii="仿宋" w:hAnsi="仿宋" w:eastAsia="仿宋" w:cs="仿宋"/>
          <w:sz w:val="32"/>
          <w:szCs w:val="32"/>
          <w:lang w:eastAsia="zh-CN"/>
        </w:rPr>
        <w:t>单位预算包括：</w:t>
      </w:r>
      <w:r>
        <w:rPr>
          <w:rFonts w:hint="eastAsia" w:ascii="仿宋" w:hAnsi="仿宋" w:eastAsia="仿宋" w:cs="仿宋"/>
          <w:sz w:val="32"/>
          <w:szCs w:val="32"/>
        </w:rPr>
        <w:t>内外妇儿等临床科室门诊、住院病区；放射影像、化验等医疗辅助科室以及院办公室、党办、人事科、财务科、药剂科、设备科、医务科等功能科室</w:t>
      </w:r>
      <w:r>
        <w:rPr>
          <w:rFonts w:hint="eastAsia" w:ascii="仿宋" w:hAnsi="仿宋" w:eastAsia="仿宋" w:cs="仿宋"/>
          <w:sz w:val="32"/>
          <w:szCs w:val="32"/>
          <w:lang w:eastAsia="zh-CN"/>
        </w:rPr>
        <w:t>的预算</w:t>
      </w:r>
      <w:r>
        <w:rPr>
          <w:rFonts w:hint="eastAsia" w:ascii="仿宋_GB2312" w:hAnsi="仿宋_GB2312" w:eastAsia="仿宋_GB2312" w:cs="仿宋_GB2312"/>
          <w:sz w:val="32"/>
          <w:szCs w:val="32"/>
        </w:rPr>
        <w:t>。</w:t>
      </w:r>
    </w:p>
    <w:p>
      <w:pPr>
        <w:spacing w:line="600" w:lineRule="exact"/>
        <w:jc w:val="center"/>
        <w:rPr>
          <w:rFonts w:ascii="黑体" w:hAnsi="宋体" w:eastAsia="黑体"/>
          <w:sz w:val="32"/>
          <w:szCs w:val="32"/>
        </w:rPr>
      </w:pPr>
      <w:r>
        <w:rPr>
          <w:rFonts w:hint="eastAsia" w:ascii="黑体" w:hAnsi="宋体" w:eastAsia="黑体"/>
          <w:sz w:val="32"/>
          <w:szCs w:val="32"/>
        </w:rPr>
        <w:t>第二部分</w:t>
      </w:r>
    </w:p>
    <w:p>
      <w:pPr>
        <w:jc w:val="center"/>
        <w:rPr>
          <w:rFonts w:hint="eastAsia" w:ascii="黑体" w:hAnsi="宋体" w:eastAsia="黑体"/>
          <w:sz w:val="32"/>
          <w:szCs w:val="32"/>
        </w:rPr>
      </w:pPr>
      <w:r>
        <w:rPr>
          <w:rFonts w:hint="eastAsia" w:ascii="黑体" w:hAnsi="宋体" w:eastAsia="黑体"/>
          <w:sz w:val="32"/>
          <w:szCs w:val="32"/>
        </w:rPr>
        <w:t>邓州市中心医院2021年</w:t>
      </w:r>
      <w:r>
        <w:rPr>
          <w:rFonts w:hint="eastAsia" w:ascii="黑体" w:hAnsi="宋体" w:eastAsia="黑体"/>
          <w:sz w:val="32"/>
          <w:szCs w:val="32"/>
          <w:lang w:eastAsia="zh-CN"/>
        </w:rPr>
        <w:t>单位</w:t>
      </w:r>
      <w:r>
        <w:rPr>
          <w:rFonts w:hint="eastAsia" w:ascii="黑体" w:hAnsi="宋体" w:eastAsia="黑体"/>
          <w:sz w:val="32"/>
          <w:szCs w:val="32"/>
        </w:rPr>
        <w:t>预算情况说明</w:t>
      </w:r>
    </w:p>
    <w:p>
      <w:pPr>
        <w:jc w:val="both"/>
        <w:rPr>
          <w:rFonts w:hint="eastAsia" w:ascii="黑体" w:hAnsi="宋体" w:eastAsia="黑体"/>
          <w:sz w:val="32"/>
          <w:szCs w:val="32"/>
        </w:rPr>
      </w:pPr>
      <w:r>
        <w:rPr>
          <w:rFonts w:hint="eastAsia" w:ascii="黑体" w:hAnsi="宋体" w:eastAsia="黑体"/>
          <w:sz w:val="32"/>
          <w:szCs w:val="32"/>
          <w:lang w:val="en-US" w:eastAsia="zh-CN"/>
        </w:rPr>
        <w:t xml:space="preserve">    </w:t>
      </w:r>
      <w:r>
        <w:rPr>
          <w:rFonts w:hint="eastAsia" w:ascii="黑体" w:hAnsi="宋体" w:eastAsia="黑体"/>
          <w:sz w:val="32"/>
          <w:szCs w:val="32"/>
        </w:rPr>
        <w:t>一、收入支出预算总体情况说明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2021年收入总计451.00万元，支出总计451.00万元，与2020年相比，收入、支出各减少了76.00万元。主要原因是：上级提前下达的公立医院改革等转移支付资金减少。</w:t>
      </w:r>
    </w:p>
    <w:p>
      <w:pPr>
        <w:spacing w:line="600" w:lineRule="exact"/>
        <w:ind w:firstLine="640" w:firstLineChars="200"/>
        <w:rPr>
          <w:rFonts w:hint="eastAsia" w:ascii="黑体" w:eastAsia="黑体"/>
          <w:sz w:val="32"/>
          <w:szCs w:val="32"/>
        </w:rPr>
      </w:pPr>
      <w:r>
        <w:rPr>
          <w:rFonts w:hint="eastAsia" w:ascii="黑体" w:eastAsia="黑体"/>
          <w:sz w:val="32"/>
          <w:szCs w:val="32"/>
        </w:rPr>
        <w:t>二、收入预算总体情况说明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年收入预算451万元，其中：一般公共预算收入196万元，提前下达转移支付安排283万元。</w:t>
      </w:r>
    </w:p>
    <w:p>
      <w:pPr>
        <w:spacing w:line="600" w:lineRule="exact"/>
        <w:ind w:firstLine="640" w:firstLineChars="200"/>
        <w:rPr>
          <w:rFonts w:hint="eastAsia" w:ascii="仿宋_GB2312" w:hAnsi="仿宋_GB2312" w:eastAsia="仿宋_GB2312" w:cs="仿宋_GB2312"/>
          <w:sz w:val="32"/>
          <w:szCs w:val="32"/>
        </w:rPr>
      </w:pPr>
      <w:r>
        <w:rPr>
          <w:rFonts w:hint="eastAsia" w:ascii="黑体" w:eastAsia="黑体"/>
          <w:sz w:val="32"/>
          <w:szCs w:val="32"/>
        </w:rPr>
        <w:t>三、支出预算总体情况说明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年支出预算451万元，其中：基本支出0万元，占年度计划的0%；项目支出451万元，占年度计划的100%。</w:t>
      </w:r>
    </w:p>
    <w:p>
      <w:pPr>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rPr>
        <w:t>四、财政拨款收支预算总体情况说明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年一般公共预算收支预算451万元，一般公共预算政府性基金收支预算0万元，国有资本经营收支预算0万元，与202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年相比，收入支出减少76万元。主要原因是：上级提前下达的公立医院改革等转移支付资金减少。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年一般公共预算支出年初预算为196万元。其中：基本支出0万元，占0%；项目支出196万元，占100%。</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年一般公共预算基本支出年初预算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hint="eastAsia"/>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spacing w:line="600" w:lineRule="exact"/>
        <w:ind w:firstLine="640" w:firstLineChars="200"/>
        <w:rPr>
          <w:rFonts w:hint="eastAsia"/>
        </w:rPr>
      </w:pPr>
      <w:r>
        <w:rPr>
          <w:rFonts w:hint="eastAsia" w:ascii="黑体" w:eastAsia="黑体"/>
          <w:sz w:val="32"/>
          <w:szCs w:val="32"/>
          <w:lang w:eastAsia="zh-CN"/>
        </w:rPr>
        <w:t>八</w:t>
      </w:r>
      <w:r>
        <w:rPr>
          <w:rFonts w:hint="eastAsia" w:ascii="黑体" w:eastAsia="黑体"/>
          <w:sz w:val="32"/>
          <w:szCs w:val="32"/>
        </w:rPr>
        <w:t>、一般公共预算“三公”经费支出预算情况说明</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万元。比2020年减少</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因公出国（境）费0万元</w:t>
      </w:r>
      <w:r>
        <w:rPr>
          <w:rFonts w:hint="eastAsia" w:ascii="仿宋_GB2312" w:hAnsi="仿宋_GB2312" w:eastAsia="仿宋_GB2312" w:cs="仿宋_GB2312"/>
          <w:sz w:val="32"/>
          <w:szCs w:val="32"/>
        </w:rPr>
        <w:t>。预算数比 2020年保持一致。</w:t>
      </w:r>
    </w:p>
    <w:p>
      <w:pPr>
        <w:kinsoku w:val="0"/>
        <w:overflowPunct w:val="0"/>
        <w:autoSpaceDE w:val="0"/>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hAnsi="仿宋_GB2312" w:eastAsia="仿宋_GB2312" w:cs="仿宋_GB2312"/>
          <w:sz w:val="32"/>
          <w:szCs w:val="32"/>
        </w:rPr>
        <w:t xml:space="preserve">其中，公务用车购置费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万元。主要用于开展工作所需公务用车的燃料费、维修费、过路过桥费、保险费等支出。公务用车购置费预算数与2020年持平，均为0万元。公务用车运行维护费预算数与2020年持平，均为0万元。</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hAnsi="仿宋_GB2312" w:eastAsia="仿宋_GB2312" w:cs="仿宋_GB2312"/>
          <w:sz w:val="32"/>
          <w:szCs w:val="32"/>
        </w:rPr>
        <w:t>主要用于按规定开支的各类公务接待支出。预算数与2020年持平，均为0万元。</w:t>
      </w:r>
    </w:p>
    <w:p>
      <w:pPr>
        <w:ind w:firstLine="640" w:firstLineChars="200"/>
        <w:rPr>
          <w:rFonts w:hint="eastAsia" w:ascii="黑体" w:eastAsia="黑体"/>
          <w:sz w:val="32"/>
          <w:szCs w:val="32"/>
        </w:rPr>
      </w:pPr>
      <w:r>
        <w:rPr>
          <w:rFonts w:hint="eastAsia" w:ascii="黑体" w:eastAsia="黑体"/>
          <w:sz w:val="32"/>
          <w:szCs w:val="32"/>
          <w:lang w:eastAsia="zh-CN"/>
        </w:rPr>
        <w:t>九</w:t>
      </w:r>
      <w:r>
        <w:rPr>
          <w:rFonts w:hint="eastAsia" w:ascii="黑体" w:eastAsia="黑体"/>
          <w:sz w:val="32"/>
          <w:szCs w:val="32"/>
        </w:rPr>
        <w:t>、政府性基金预算支出预算情况说明</w:t>
      </w:r>
    </w:p>
    <w:p>
      <w:pPr>
        <w:kinsoku w:val="0"/>
        <w:overflowPunct w:val="0"/>
        <w:autoSpaceDE w:val="0"/>
        <w:autoSpaceDN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年没有使用政府性基金预算拨款安排的支出。</w:t>
      </w:r>
    </w:p>
    <w:p>
      <w:pPr>
        <w:ind w:firstLine="709"/>
        <w:rPr>
          <w:rFonts w:hint="eastAsia" w:ascii="黑体" w:eastAsia="黑体"/>
          <w:sz w:val="32"/>
          <w:szCs w:val="32"/>
        </w:rPr>
      </w:pPr>
      <w:r>
        <w:rPr>
          <w:rFonts w:hint="eastAsia" w:ascii="黑体" w:eastAsia="黑体"/>
          <w:sz w:val="32"/>
          <w:szCs w:val="32"/>
          <w:lang w:eastAsia="zh-CN"/>
        </w:rPr>
        <w:t>十、</w:t>
      </w:r>
      <w:r>
        <w:rPr>
          <w:rFonts w:hint="eastAsia" w:ascii="黑体" w:eastAsia="黑体"/>
          <w:sz w:val="32"/>
          <w:szCs w:val="32"/>
        </w:rPr>
        <w:t>其他重要事项的情况说明</w:t>
      </w:r>
    </w:p>
    <w:p>
      <w:pPr>
        <w:spacing w:line="600" w:lineRule="exact"/>
        <w:ind w:firstLine="709"/>
        <w:rPr>
          <w:rFonts w:hint="eastAsia" w:ascii="仿宋" w:hAnsi="仿宋" w:eastAsia="仿宋" w:cs="仿宋"/>
          <w:b/>
          <w:sz w:val="32"/>
          <w:szCs w:val="32"/>
        </w:rPr>
      </w:pPr>
      <w:r>
        <w:rPr>
          <w:rFonts w:hint="eastAsia" w:ascii="仿宋" w:hAnsi="仿宋" w:eastAsia="仿宋" w:cs="仿宋"/>
          <w:b/>
          <w:sz w:val="32"/>
          <w:szCs w:val="32"/>
        </w:rPr>
        <w:t>（一）事业单位机构运转经费</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我单位不是行政机关，也不是参照公务员管理事业单位，没有机关运行经费支出</w:t>
      </w:r>
    </w:p>
    <w:p>
      <w:pPr>
        <w:spacing w:line="600" w:lineRule="exact"/>
        <w:ind w:firstLine="709"/>
        <w:rPr>
          <w:rFonts w:ascii="仿宋" w:hAnsi="仿宋" w:eastAsia="仿宋" w:cs="仿宋"/>
          <w:b/>
          <w:sz w:val="32"/>
          <w:szCs w:val="32"/>
        </w:rPr>
      </w:pPr>
      <w:r>
        <w:rPr>
          <w:rFonts w:hint="eastAsia" w:ascii="仿宋" w:hAnsi="仿宋" w:eastAsia="仿宋" w:cs="仿宋"/>
          <w:b/>
          <w:sz w:val="32"/>
          <w:szCs w:val="32"/>
        </w:rPr>
        <w:t>（二）政府采购支出情况</w:t>
      </w:r>
      <w:bookmarkStart w:id="0" w:name="_GoBack"/>
      <w:bookmarkEnd w:id="0"/>
    </w:p>
    <w:p>
      <w:pPr>
        <w:spacing w:line="600" w:lineRule="exact"/>
        <w:ind w:firstLine="709"/>
        <w:rPr>
          <w:rFonts w:ascii="仿宋" w:hAnsi="仿宋" w:eastAsia="仿宋" w:cs="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年无政府采购预算安排</w:t>
      </w:r>
      <w:r>
        <w:rPr>
          <w:rFonts w:hint="eastAsia" w:ascii="仿宋" w:hAnsi="仿宋" w:eastAsia="仿宋" w:cs="仿宋"/>
          <w:sz w:val="32"/>
          <w:szCs w:val="32"/>
        </w:rPr>
        <w:t>。</w:t>
      </w:r>
    </w:p>
    <w:p>
      <w:pPr>
        <w:spacing w:line="600" w:lineRule="exact"/>
        <w:ind w:firstLine="709"/>
        <w:rPr>
          <w:rFonts w:ascii="仿宋" w:hAnsi="仿宋" w:eastAsia="仿宋" w:cs="仿宋"/>
          <w:b/>
          <w:sz w:val="32"/>
          <w:szCs w:val="32"/>
        </w:rPr>
      </w:pPr>
      <w:r>
        <w:rPr>
          <w:rFonts w:hint="eastAsia" w:ascii="仿宋" w:hAnsi="仿宋" w:eastAsia="仿宋" w:cs="仿宋"/>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w:t>
      </w:r>
      <w:r>
        <w:rPr>
          <w:rFonts w:hint="eastAsia" w:ascii="仿宋_GB2312" w:eastAsia="仿宋_GB2312"/>
          <w:sz w:val="32"/>
          <w:szCs w:val="32"/>
          <w:lang w:eastAsia="zh-CN"/>
        </w:rPr>
        <w:t>公立医院改革</w:t>
      </w:r>
      <w:r>
        <w:rPr>
          <w:rFonts w:hint="eastAsia" w:ascii="仿宋_GB2312" w:eastAsia="仿宋_GB2312"/>
          <w:sz w:val="32"/>
          <w:szCs w:val="32"/>
          <w:lang w:val="en-US" w:eastAsia="zh-CN"/>
        </w:rPr>
        <w:t>1</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255</w:t>
      </w:r>
      <w:r>
        <w:rPr>
          <w:rFonts w:hint="eastAsia" w:ascii="仿宋_GB2312" w:eastAsia="仿宋_GB2312"/>
          <w:sz w:val="32"/>
          <w:szCs w:val="32"/>
        </w:rPr>
        <w:t>万元。</w:t>
      </w:r>
    </w:p>
    <w:p>
      <w:pPr>
        <w:spacing w:line="600" w:lineRule="exact"/>
        <w:ind w:firstLine="709"/>
        <w:rPr>
          <w:rFonts w:ascii="仿宋" w:hAnsi="仿宋" w:eastAsia="仿宋" w:cs="仿宋"/>
          <w:b/>
          <w:sz w:val="32"/>
          <w:szCs w:val="32"/>
        </w:rPr>
      </w:pPr>
      <w:r>
        <w:rPr>
          <w:rFonts w:hint="eastAsia" w:ascii="仿宋" w:hAnsi="仿宋" w:eastAsia="仿宋" w:cs="仿宋"/>
          <w:b/>
          <w:sz w:val="32"/>
          <w:szCs w:val="32"/>
        </w:rPr>
        <w:t>（四）国有资产占用情况</w:t>
      </w:r>
    </w:p>
    <w:p>
      <w:pPr>
        <w:kinsoku w:val="0"/>
        <w:overflowPunct w:val="0"/>
        <w:autoSpaceDE w:val="0"/>
        <w:autoSpaceDN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年期末，我单位共有车辆13辆，其中主要领导干部用车1辆，其他用车12辆。单价50万元以上通用设备3套，单位价值100万元以上专用设备32套。</w:t>
      </w:r>
    </w:p>
    <w:p>
      <w:pPr>
        <w:numPr>
          <w:ilvl w:val="0"/>
          <w:numId w:val="2"/>
        </w:numPr>
        <w:spacing w:line="15" w:lineRule="auto"/>
        <w:ind w:firstLine="709"/>
        <w:rPr>
          <w:rFonts w:hint="eastAsia" w:ascii="仿宋_GB2312" w:eastAsia="仿宋_GB2312"/>
          <w:b/>
          <w:sz w:val="32"/>
          <w:szCs w:val="32"/>
        </w:rPr>
      </w:pPr>
      <w:r>
        <w:rPr>
          <w:rFonts w:hint="eastAsia" w:ascii="仿宋_GB2312" w:eastAsia="仿宋_GB2312"/>
          <w:b/>
          <w:sz w:val="32"/>
          <w:szCs w:val="32"/>
        </w:rPr>
        <w:t>专项转移支付情况</w:t>
      </w:r>
    </w:p>
    <w:p>
      <w:pPr>
        <w:kinsoku w:val="0"/>
        <w:overflowPunct w:val="0"/>
        <w:autoSpaceDE w:val="0"/>
        <w:autoSpaceDN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我单位暂无负责的专项转移支付项目。</w:t>
      </w:r>
    </w:p>
    <w:p>
      <w:pPr>
        <w:numPr>
          <w:ilvl w:val="0"/>
          <w:numId w:val="3"/>
        </w:numPr>
        <w:spacing w:line="600" w:lineRule="exact"/>
        <w:jc w:val="center"/>
        <w:rPr>
          <w:rFonts w:ascii="黑体" w:hAnsi="宋体" w:eastAsia="黑体"/>
          <w:sz w:val="32"/>
          <w:szCs w:val="32"/>
        </w:rPr>
      </w:pPr>
      <w:r>
        <w:rPr>
          <w:rFonts w:hint="eastAsia" w:ascii="黑体" w:hAnsi="宋体" w:eastAsia="黑体"/>
          <w:sz w:val="32"/>
          <w:szCs w:val="32"/>
        </w:rPr>
        <w:t>名词解释</w:t>
      </w:r>
    </w:p>
    <w:p>
      <w:pPr>
        <w:pStyle w:val="2"/>
        <w:ind w:firstLine="0" w:firstLineChars="0"/>
        <w:rPr>
          <w:rFonts w:hint="eastAsia"/>
        </w:rPr>
      </w:pPr>
    </w:p>
    <w:p>
      <w:pPr>
        <w:spacing w:line="600" w:lineRule="exact"/>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一、财政拨款收入：是指市级财政当年拨付的资金;包括一般公共预算财政拨款、政府性基金预算拨款、国有资本经营预算拨款。</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三、事业收入：是指事业单位开展专业活动及辅助活动所取得的收入，不包括教育收费。</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四、事业单位经营收入：是指事业单位在专业业务活动及其辅助活动之外开展独立核算经营活动取得的收入。</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五、其他收入：是指部门取得的除“财政拨款”、“事业收入”、“事业单位经营收入”等以外的收入。</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八、项目支出：是指在基本支出之外，为完成特定的行政工作任务或事业发展目标所发生的支出。</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三公”经费：是指纳入本级财政预算管理，部门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480" w:lineRule="auto"/>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bCs/>
          <w:sz w:val="32"/>
          <w:szCs w:val="32"/>
        </w:rPr>
        <w:t>行政（事业）单位机构运转经费情况：</w:t>
      </w:r>
      <w:r>
        <w:rPr>
          <w:rFonts w:hint="eastAsia" w:ascii="仿宋_GB2312" w:hAnsi="仿宋_GB2312" w:eastAsia="仿宋_GB2312" w:cs="仿宋_GB2312"/>
          <w:sz w:val="32"/>
          <w:szCs w:val="32"/>
        </w:rPr>
        <w:t>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hint="eastAsia" w:ascii="仿宋_GB2312" w:eastAsia="仿宋_GB2312"/>
          <w:sz w:val="32"/>
          <w:szCs w:val="32"/>
        </w:rPr>
      </w:pPr>
    </w:p>
    <w:p>
      <w:pPr>
        <w:spacing w:line="480" w:lineRule="auto"/>
        <w:ind w:firstLine="426"/>
        <w:rPr>
          <w:rFonts w:hint="eastAsia" w:ascii="仿宋_GB2312" w:eastAsia="仿宋_GB2312"/>
          <w:b/>
          <w:bCs/>
          <w:sz w:val="32"/>
          <w:szCs w:val="32"/>
        </w:rPr>
      </w:pPr>
      <w:r>
        <w:rPr>
          <w:rFonts w:hint="eastAsia" w:ascii="仿宋_GB2312" w:eastAsia="仿宋_GB2312"/>
          <w:b/>
          <w:bCs/>
          <w:sz w:val="32"/>
          <w:szCs w:val="32"/>
        </w:rPr>
        <w:t>附件：202</w:t>
      </w:r>
      <w:r>
        <w:rPr>
          <w:rFonts w:hint="eastAsia" w:ascii="仿宋_GB2312" w:eastAsia="仿宋_GB2312"/>
          <w:b/>
          <w:bCs/>
          <w:sz w:val="32"/>
          <w:szCs w:val="32"/>
          <w:lang w:val="en-US" w:eastAsia="zh-CN"/>
        </w:rPr>
        <w:t>1</w:t>
      </w:r>
      <w:r>
        <w:rPr>
          <w:rFonts w:hint="eastAsia" w:ascii="仿宋_GB2312" w:eastAsia="仿宋_GB2312"/>
          <w:b/>
          <w:bCs/>
          <w:sz w:val="32"/>
          <w:szCs w:val="32"/>
        </w:rPr>
        <w:t>年度</w:t>
      </w:r>
      <w:r>
        <w:rPr>
          <w:rFonts w:hint="eastAsia" w:ascii="仿宋_GB2312" w:eastAsia="仿宋_GB2312"/>
          <w:b/>
          <w:bCs/>
          <w:sz w:val="32"/>
          <w:szCs w:val="32"/>
          <w:lang w:val="en-US" w:eastAsia="zh-CN"/>
        </w:rPr>
        <w:t>单位</w:t>
      </w:r>
      <w:r>
        <w:rPr>
          <w:rFonts w:hint="eastAsia" w:ascii="仿宋_GB2312" w:eastAsia="仿宋_GB2312"/>
          <w:b/>
          <w:bCs/>
          <w:sz w:val="32"/>
          <w:szCs w:val="32"/>
        </w:rPr>
        <w:t>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pStyle w:val="2"/>
        <w:rPr>
          <w:rFonts w:ascii="仿宋" w:hAnsi="仿宋" w:eastAsia="仿宋" w:cs="仿宋"/>
          <w:sz w:val="32"/>
          <w:szCs w:val="32"/>
        </w:rPr>
      </w:pPr>
      <w:r>
        <w:rPr>
          <w:rFonts w:hint="eastAsia" w:ascii="Calibri" w:hAnsi="Calibri" w:eastAsia="仿宋_GB2312" w:cs="黑体"/>
          <w:kern w:val="2"/>
          <w:sz w:val="21"/>
          <w:szCs w:val="2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928" w:right="1588" w:bottom="175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E41A"/>
    <w:multiLevelType w:val="singleLevel"/>
    <w:tmpl w:val="AE95E41A"/>
    <w:lvl w:ilvl="0" w:tentative="0">
      <w:start w:val="5"/>
      <w:numFmt w:val="chineseCounting"/>
      <w:suff w:val="nothing"/>
      <w:lvlText w:val="（%1）"/>
      <w:lvlJc w:val="left"/>
      <w:rPr>
        <w:rFonts w:hint="eastAsia"/>
      </w:rPr>
    </w:lvl>
  </w:abstractNum>
  <w:abstractNum w:abstractNumId="1">
    <w:nsid w:val="F4570BE8"/>
    <w:multiLevelType w:val="singleLevel"/>
    <w:tmpl w:val="F4570BE8"/>
    <w:lvl w:ilvl="0" w:tentative="0">
      <w:start w:val="3"/>
      <w:numFmt w:val="chineseCounting"/>
      <w:suff w:val="space"/>
      <w:lvlText w:val="第%1部分"/>
      <w:lvlJc w:val="left"/>
      <w:rPr>
        <w:rFonts w:hint="eastAsia"/>
      </w:rPr>
    </w:lvl>
  </w:abstractNum>
  <w:abstractNum w:abstractNumId="2">
    <w:nsid w:val="3EC4C516"/>
    <w:multiLevelType w:val="singleLevel"/>
    <w:tmpl w:val="3EC4C516"/>
    <w:lvl w:ilvl="0" w:tentative="0">
      <w:start w:val="1"/>
      <w:numFmt w:val="chineseCounting"/>
      <w:suff w:val="nothing"/>
      <w:lvlText w:val="（%1）"/>
      <w:lvlJc w:val="left"/>
      <w:pPr>
        <w:ind w:left="-10"/>
      </w:pPr>
      <w:rPr>
        <w:rFonts w:hint="eastAsia"/>
        <w:b w:val="0"/>
        <w:bCs w:val="0"/>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24770"/>
    <w:rsid w:val="670C3D4D"/>
    <w:rsid w:val="705F26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List Paragraph"/>
    <w:basedOn w:val="1"/>
    <w:qFormat/>
    <w:uiPriority w:val="34"/>
    <w:pPr>
      <w:ind w:firstLine="420"/>
    </w:pPr>
  </w:style>
  <w:style w:type="paragraph" w:customStyle="1" w:styleId="11">
    <w:name w:val="规范正文"/>
    <w:basedOn w:val="1"/>
    <w:qFormat/>
    <w:uiPriority w:val="0"/>
    <w:pPr>
      <w:spacing w:line="360" w:lineRule="auto"/>
      <w:ind w:firstLine="560" w:firstLineChars="200"/>
    </w:pPr>
    <w:rPr>
      <w:rFonts w:ascii="Times New Roman" w:hAnsi="Times New Roman" w:eastAsia="仿宋_GB2312" w:cs="Times New Roman"/>
      <w:sz w:val="28"/>
      <w:szCs w:val="28"/>
    </w:rPr>
  </w:style>
  <w:style w:type="character" w:customStyle="1" w:styleId="12">
    <w:name w:val="页眉 Char Char"/>
    <w:basedOn w:val="8"/>
    <w:link w:val="5"/>
    <w:qFormat/>
    <w:uiPriority w:val="99"/>
    <w:rPr>
      <w:sz w:val="18"/>
      <w:szCs w:val="18"/>
    </w:rPr>
  </w:style>
  <w:style w:type="character" w:customStyle="1" w:styleId="13">
    <w:name w:val="页脚 Char Char"/>
    <w:basedOn w:val="8"/>
    <w:link w:val="4"/>
    <w:qFormat/>
    <w:uiPriority w:val="99"/>
    <w:rPr>
      <w:sz w:val="18"/>
      <w:szCs w:val="18"/>
    </w:rPr>
  </w:style>
  <w:style w:type="character" w:customStyle="1" w:styleId="14">
    <w:name w:val="批注框文本 Char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370</Words>
  <Characters>2110</Characters>
  <Lines>17</Lines>
  <Paragraphs>4</Paragraphs>
  <TotalTime>8</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2022-09-01T01:53:29Z</dcterms:modified>
  <dc:title>2021年邓州市中心医院财政预算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B51A8E85EFD14B90B68F9A832429B969</vt:lpwstr>
  </property>
</Properties>
</file>