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95" w:rsidRDefault="001D238C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邓州市2021年村镇建设服务中心单位预算基本情况说明</w:t>
      </w:r>
    </w:p>
    <w:p w:rsidR="00306C95" w:rsidRDefault="00306C95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306C95" w:rsidRDefault="001D238C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306C95" w:rsidRDefault="001D238C" w:rsidP="00B5417E">
      <w:pPr>
        <w:spacing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 xml:space="preserve">第一部分  邓州市村镇建设服务中心概况     </w:t>
      </w:r>
    </w:p>
    <w:p w:rsidR="00306C95" w:rsidRDefault="001D238C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主要职责</w:t>
      </w:r>
    </w:p>
    <w:p w:rsidR="00306C95" w:rsidRDefault="001D238C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预算单位构成情况</w:t>
      </w:r>
    </w:p>
    <w:p w:rsidR="00306C95" w:rsidRDefault="001D238C" w:rsidP="00C4673C">
      <w:pPr>
        <w:ind w:left="1440" w:hangingChars="450" w:hanging="144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邓州市村镇建设服务中心 2021年单位预算情况说明</w:t>
      </w:r>
    </w:p>
    <w:p w:rsidR="00306C95" w:rsidRDefault="001D238C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306C95" w:rsidRDefault="001D238C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：2021年度单位预算表</w:t>
      </w:r>
    </w:p>
    <w:p w:rsidR="00306C95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一、单位收支总体情况表</w:t>
      </w:r>
    </w:p>
    <w:p w:rsidR="00306C95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二、单位收入总体情况表</w:t>
      </w:r>
    </w:p>
    <w:p w:rsidR="00306C95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三、单位支出总体情况表</w:t>
      </w:r>
    </w:p>
    <w:p w:rsidR="00306C95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306C95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306C95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306C95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306C95" w:rsidRPr="00C4673C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306C95" w:rsidRDefault="001D238C" w:rsidP="00C4673C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九、支出经济分类汇总表</w:t>
      </w:r>
    </w:p>
    <w:p w:rsidR="00306C95" w:rsidRDefault="00306C95" w:rsidP="00C4673C">
      <w:pPr>
        <w:rPr>
          <w:rFonts w:ascii="仿宋_GB2312" w:eastAsia="仿宋_GB2312" w:hAnsiTheme="majorEastAsia"/>
          <w:b/>
          <w:sz w:val="32"/>
          <w:szCs w:val="32"/>
        </w:rPr>
      </w:pPr>
    </w:p>
    <w:p w:rsidR="00306C95" w:rsidRDefault="001D238C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</w:p>
    <w:p w:rsidR="00306C95" w:rsidRDefault="001D238C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邓州市村镇建设服务中心概况</w:t>
      </w:r>
    </w:p>
    <w:p w:rsidR="00306C95" w:rsidRDefault="00306C95">
      <w:pPr>
        <w:rPr>
          <w:rFonts w:ascii="仿宋_GB2312" w:eastAsia="仿宋_GB2312"/>
          <w:b/>
          <w:sz w:val="32"/>
          <w:szCs w:val="32"/>
        </w:rPr>
      </w:pPr>
    </w:p>
    <w:p w:rsidR="00306C95" w:rsidRDefault="001D238C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306C95" w:rsidRDefault="001D238C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拟定全市村镇建设政策性措施和发展规划并组织实施  承担历史文化名镇（村）保护利用、传统村落保护发展工作  承担邓州市农村危房改造领导小组日常工作</w:t>
      </w:r>
    </w:p>
    <w:p w:rsidR="00306C95" w:rsidRDefault="001D238C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二、单位预算构成情况</w:t>
      </w:r>
    </w:p>
    <w:p w:rsidR="00306C95" w:rsidRDefault="001D238C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邓州市村镇建设服务中心单位预算包括：单位本级的预算，无下设机构。</w:t>
      </w:r>
    </w:p>
    <w:p w:rsidR="00306C95" w:rsidRDefault="00306C95">
      <w:pPr>
        <w:rPr>
          <w:rFonts w:ascii="仿宋_GB2312" w:eastAsia="仿宋_GB2312"/>
          <w:sz w:val="32"/>
          <w:szCs w:val="32"/>
        </w:rPr>
      </w:pPr>
    </w:p>
    <w:p w:rsidR="00306C95" w:rsidRDefault="001D238C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</w:p>
    <w:p w:rsidR="00306C95" w:rsidRDefault="001D238C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邓州市村镇建设服务中心2021年单位预算情况说明</w:t>
      </w:r>
    </w:p>
    <w:p w:rsidR="00306C95" w:rsidRDefault="001D238C" w:rsidP="00B5417E"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306C95" w:rsidRDefault="001D238C" w:rsidP="00C467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2021年收入总计292.73 万元，支出总计292.73万元，与2020年相比，收入、支出各降低1345.02万元。主要原因是：2020年危房改造转移支付。        </w:t>
      </w:r>
    </w:p>
    <w:p w:rsidR="00306C95" w:rsidRDefault="001D238C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306C95" w:rsidRDefault="001D238C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2021年收入预算292.73万元，其中：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eastAsia="仿宋_GB2312" w:hint="eastAsia"/>
          <w:sz w:val="32"/>
          <w:szCs w:val="32"/>
        </w:rPr>
        <w:t>292.73</w:t>
      </w:r>
      <w:r>
        <w:rPr>
          <w:rFonts w:ascii="仿宋_GB2312" w:eastAsia="仿宋_GB2312" w:hint="eastAsia"/>
          <w:sz w:val="32"/>
          <w:szCs w:val="32"/>
        </w:rPr>
        <w:t xml:space="preserve"> 万元，政府性基金收入0万元，国有资本经营预算收入 0万元，财政专户管理资金收入0万元</w:t>
      </w:r>
      <w:r w:rsidR="00C4673C">
        <w:rPr>
          <w:rFonts w:ascii="仿宋_GB2312" w:eastAsia="仿宋_GB2312" w:hint="eastAsia"/>
          <w:sz w:val="32"/>
          <w:szCs w:val="32"/>
        </w:rPr>
        <w:t>。</w:t>
      </w:r>
    </w:p>
    <w:p w:rsidR="00306C95" w:rsidRDefault="001D238C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2021年支出预算 292.73 万元，其中：基本支出95.33   万元，占年度计划的33%；项目支出197.4万元，占年度计划的67%。 </w:t>
      </w:r>
    </w:p>
    <w:p w:rsidR="00306C95" w:rsidRDefault="001D238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四、财政拨款收支预算总体情况说明</w:t>
      </w:r>
    </w:p>
    <w:p w:rsidR="00096758" w:rsidRDefault="001D238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2021年一般公共预算收支预算</w:t>
      </w:r>
      <w:r w:rsidR="00096758">
        <w:rPr>
          <w:rFonts w:ascii="仿宋_GB2312" w:eastAsia="仿宋_GB2312" w:hint="eastAsia"/>
          <w:sz w:val="32"/>
          <w:szCs w:val="32"/>
        </w:rPr>
        <w:t>101.33</w:t>
      </w:r>
      <w:r>
        <w:rPr>
          <w:rFonts w:ascii="仿宋_GB2312" w:eastAsia="仿宋_GB2312" w:hint="eastAsia"/>
          <w:sz w:val="32"/>
          <w:szCs w:val="32"/>
        </w:rPr>
        <w:t>万元，政府性基金收支预算 0万元，国有资本经营收支预算0万元，与2020年相比，收入支出</w:t>
      </w:r>
      <w:r w:rsidRPr="00C4673C">
        <w:rPr>
          <w:rFonts w:ascii="仿宋_GB2312" w:eastAsia="仿宋_GB2312" w:hint="eastAsia"/>
          <w:color w:val="000000" w:themeColor="text1"/>
          <w:sz w:val="32"/>
          <w:szCs w:val="32"/>
        </w:rPr>
        <w:t>减少</w:t>
      </w:r>
      <w:r w:rsidR="00096758">
        <w:rPr>
          <w:rFonts w:ascii="仿宋_GB2312" w:eastAsia="仿宋_GB2312" w:hint="eastAsia"/>
          <w:color w:val="000000" w:themeColor="text1"/>
          <w:sz w:val="32"/>
          <w:szCs w:val="32"/>
        </w:rPr>
        <w:t>6.42</w:t>
      </w:r>
      <w:r>
        <w:rPr>
          <w:rFonts w:ascii="仿宋_GB2312" w:eastAsia="仿宋_GB2312" w:hint="eastAsia"/>
          <w:sz w:val="32"/>
          <w:szCs w:val="32"/>
        </w:rPr>
        <w:t>万元。主要原因是：</w:t>
      </w:r>
      <w:r w:rsidR="00096758">
        <w:rPr>
          <w:rFonts w:ascii="仿宋_GB2312" w:eastAsia="仿宋_GB2312" w:hint="eastAsia"/>
          <w:sz w:val="32"/>
          <w:szCs w:val="32"/>
        </w:rPr>
        <w:t>单位压缩开支。</w:t>
      </w:r>
    </w:p>
    <w:p w:rsidR="00306C95" w:rsidRDefault="001D238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五、一般公共预算支出预算情况说明</w:t>
      </w:r>
    </w:p>
    <w:p w:rsidR="00306C95" w:rsidRDefault="001D238C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 w:rsidR="00096758">
        <w:rPr>
          <w:rFonts w:ascii="Times New Roman" w:eastAsia="仿宋_GB2312" w:hAnsi="Times New Roman" w:cs="Times New Roman" w:hint="eastAsia"/>
          <w:sz w:val="32"/>
          <w:szCs w:val="32"/>
        </w:rPr>
        <w:t>101.33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其中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基本支出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096758">
        <w:rPr>
          <w:rFonts w:ascii="Times New Roman" w:eastAsia="仿宋_GB2312" w:hAnsi="Times New Roman" w:cs="Times New Roman" w:hint="eastAsia"/>
          <w:sz w:val="32"/>
          <w:szCs w:val="32"/>
        </w:rPr>
        <w:t>5.33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="00096758">
        <w:rPr>
          <w:rFonts w:ascii="Times New Roman" w:eastAsia="仿宋_GB2312" w:hAnsi="Times New Roman" w:cs="Times New Roman" w:hint="eastAsia"/>
          <w:sz w:val="32"/>
          <w:szCs w:val="32"/>
        </w:rPr>
        <w:t>94.08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；项目支出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9675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 w:rsidR="00096758">
        <w:rPr>
          <w:rFonts w:ascii="Times New Roman" w:eastAsia="仿宋_GB2312" w:hAnsi="Times New Roman" w:cs="Times New Roman" w:hint="eastAsia"/>
          <w:sz w:val="32"/>
          <w:szCs w:val="32"/>
        </w:rPr>
        <w:t>5.92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06C95" w:rsidRPr="00C4673C" w:rsidRDefault="001D238C">
      <w:pPr>
        <w:numPr>
          <w:ilvl w:val="0"/>
          <w:numId w:val="2"/>
        </w:numPr>
        <w:ind w:firstLine="709"/>
        <w:rPr>
          <w:rFonts w:ascii="黑体" w:eastAsia="黑体" w:hAnsi="黑体" w:cs="Times New Roman"/>
          <w:sz w:val="32"/>
          <w:szCs w:val="32"/>
        </w:rPr>
      </w:pPr>
      <w:r w:rsidRPr="00C4673C">
        <w:rPr>
          <w:rFonts w:ascii="黑体" w:eastAsia="黑体" w:hAnsi="黑体" w:cs="Times New Roman" w:hint="eastAsia"/>
          <w:sz w:val="32"/>
          <w:szCs w:val="32"/>
        </w:rPr>
        <w:t>一般公共预算基本支出预算情况说明</w:t>
      </w:r>
    </w:p>
    <w:p w:rsidR="00306C95" w:rsidRDefault="001D238C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基本支出</w:t>
      </w:r>
      <w:r>
        <w:rPr>
          <w:rFonts w:ascii="Times New Roman" w:eastAsia="仿宋_GB2312" w:hAnsi="Times New Roman" w:cs="Times New Roman"/>
          <w:sz w:val="32"/>
          <w:szCs w:val="32"/>
        </w:rPr>
        <w:t>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95.33</w:t>
      </w:r>
      <w:r w:rsidR="00C4673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其中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人员经费支出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92.36</w:t>
      </w:r>
      <w:r w:rsidR="00C4673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97%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；公用经费支出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2.97</w:t>
      </w:r>
      <w:r w:rsidR="00C4673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06C95" w:rsidRDefault="001D238C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七、支出预算经济分类情况说明</w:t>
      </w:r>
    </w:p>
    <w:p w:rsidR="00306C95" w:rsidRDefault="001D238C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按照《财政部关于印发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支出经济分类科目改革方案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的通知》（财预〔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98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号）要求，从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出经济分类汇总表》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按两套经济分类科目分别反映不同资金来源的全部预算支出。</w:t>
      </w:r>
    </w:p>
    <w:p w:rsidR="00306C95" w:rsidRPr="00C4673C" w:rsidRDefault="001D238C">
      <w:pPr>
        <w:ind w:firstLineChars="200" w:firstLine="640"/>
        <w:rPr>
          <w:rFonts w:ascii="Times New Roman" w:eastAsia="黑体" w:hAnsi="Times New Roman" w:cs="黑体"/>
          <w:kern w:val="0"/>
          <w:sz w:val="32"/>
          <w:szCs w:val="32"/>
        </w:rPr>
      </w:pPr>
      <w:r w:rsidRPr="00C4673C">
        <w:rPr>
          <w:rFonts w:ascii="Times New Roman" w:eastAsia="黑体" w:hAnsi="Times New Roman" w:cs="黑体" w:hint="eastAsia"/>
          <w:kern w:val="0"/>
          <w:sz w:val="32"/>
          <w:szCs w:val="32"/>
        </w:rPr>
        <w:t>八、一般公共预算“三公”经费支出预算情况说明</w:t>
      </w:r>
    </w:p>
    <w:p w:rsidR="00306C95" w:rsidRDefault="001D238C" w:rsidP="00C467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2021年“三公”经费预算为0.7万元。比2020年减少0</w:t>
      </w:r>
      <w:r w:rsidR="00C4673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306C95" w:rsidRDefault="001D238C">
      <w:pPr>
        <w:kinsoku w:val="0"/>
        <w:overflowPunct w:val="0"/>
        <w:autoSpaceDE w:val="0"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306C95" w:rsidRDefault="001D238C">
      <w:pPr>
        <w:kinsoku w:val="0"/>
        <w:overflowPunct w:val="0"/>
        <w:autoSpaceDE w:val="0"/>
        <w:autoSpaceDN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因公出国（境）费0万元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主要用于单位工作人员公务出国（境）的住宿费、差旅费、伙食补助费、杂费、培训费等支出。预算数比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年保持一致。</w:t>
      </w:r>
    </w:p>
    <w:p w:rsidR="00C4673C" w:rsidRDefault="001D238C">
      <w:pPr>
        <w:ind w:leftChars="9" w:left="19" w:firstLineChars="194" w:firstLine="62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公务用车购置费及维护费</w:t>
      </w:r>
      <w:r w:rsidR="00C4673C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0 万元</w:t>
      </w:r>
      <w:r>
        <w:rPr>
          <w:rFonts w:ascii="仿宋_GB2312" w:eastAsia="仿宋_GB2312" w:hint="eastAsia"/>
          <w:sz w:val="32"/>
          <w:szCs w:val="32"/>
        </w:rPr>
        <w:t>，其中，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公务用车购置费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0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公务用车维护费</w:t>
      </w:r>
      <w:r w:rsidR="00C4673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 w:rsidR="00B5417E">
        <w:rPr>
          <w:rFonts w:ascii="仿宋_GB2312" w:eastAsia="仿宋_GB2312" w:hint="eastAsia"/>
          <w:sz w:val="32"/>
          <w:szCs w:val="32"/>
        </w:rPr>
        <w:t>.1</w:t>
      </w:r>
      <w:r>
        <w:rPr>
          <w:rFonts w:ascii="仿宋_GB2312" w:eastAsia="仿宋_GB2312" w:hint="eastAsia"/>
          <w:sz w:val="32"/>
          <w:szCs w:val="32"/>
        </w:rPr>
        <w:t xml:space="preserve"> 万元。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主要用于开展工作所需公务用车的燃料费、维修费、过路过桥费、保险费等支出。公务用车购置费预算数与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年持平，均为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万元。公务用车运行维护费预算数</w:t>
      </w:r>
      <w:r w:rsidR="00B5417E" w:rsidRPr="00B5417E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B5417E" w:rsidRPr="00B5417E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B5417E" w:rsidRPr="00B5417E">
        <w:rPr>
          <w:rFonts w:ascii="Times New Roman" w:eastAsia="仿宋_GB2312" w:hAnsi="Times New Roman" w:cs="Times New Roman" w:hint="eastAsia"/>
          <w:sz w:val="32"/>
          <w:szCs w:val="32"/>
        </w:rPr>
        <w:t>年持平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06C95" w:rsidRDefault="001D238C" w:rsidP="00C4673C">
      <w:pPr>
        <w:ind w:leftChars="9" w:left="19" w:firstLineChars="194" w:firstLine="623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公务接待费</w:t>
      </w:r>
      <w:r w:rsidR="00C4673C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B5417E">
        <w:rPr>
          <w:rFonts w:ascii="仿宋_GB2312" w:eastAsia="仿宋_GB2312" w:hint="eastAsia"/>
          <w:b/>
          <w:bCs/>
          <w:sz w:val="32"/>
          <w:szCs w:val="32"/>
        </w:rPr>
        <w:t>0.6</w:t>
      </w:r>
      <w:r>
        <w:rPr>
          <w:rFonts w:ascii="仿宋_GB2312" w:eastAsia="仿宋_GB2312" w:hint="eastAsia"/>
          <w:b/>
          <w:bCs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 w:rsidR="00B5417E">
        <w:rPr>
          <w:rFonts w:ascii="Times New Roman" w:eastAsia="仿宋_GB2312" w:hAnsi="Times New Roman" w:cs="Times New Roman" w:hint="eastAsia"/>
          <w:sz w:val="32"/>
          <w:szCs w:val="32"/>
        </w:rPr>
        <w:t>主要用于按规定开支的各类公务接待支出。预算数与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5417E">
        <w:rPr>
          <w:rFonts w:ascii="Times New Roman" w:eastAsia="仿宋_GB2312" w:hAnsi="Times New Roman" w:cs="Times New Roman" w:hint="eastAsia"/>
          <w:sz w:val="32"/>
          <w:szCs w:val="32"/>
        </w:rPr>
        <w:t>持平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06C95" w:rsidRDefault="001D238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九、政府性基金预算支出预算情况说明</w:t>
      </w:r>
    </w:p>
    <w:p w:rsidR="00306C95" w:rsidRDefault="001D238C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306C95" w:rsidRDefault="001D238C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十、其他重要事项的情况说明</w:t>
      </w:r>
    </w:p>
    <w:p w:rsidR="00306C95" w:rsidRDefault="001D238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2021年机关运行经费支出预算0万元，主要保障机关人员工资发放、机构正常运转及正常履职需要。</w:t>
      </w:r>
    </w:p>
    <w:p w:rsidR="00306C95" w:rsidRDefault="001D238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（二）政府采购支出情况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</w:t>
      </w:r>
      <w:r w:rsidRPr="00C4673C"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政府采购预算安排。</w:t>
      </w:r>
    </w:p>
    <w:p w:rsidR="00306C95" w:rsidRDefault="001D238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（三）绩效目标设置情况</w:t>
      </w:r>
    </w:p>
    <w:p w:rsidR="00306C95" w:rsidRDefault="001D238C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我单位2021年预算，暂未进行项目预算绩效管理工作。</w:t>
      </w:r>
    </w:p>
    <w:p w:rsidR="00306C95" w:rsidRDefault="001D238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（四）国有资产占用情况</w:t>
      </w:r>
    </w:p>
    <w:p w:rsidR="00306C95" w:rsidRDefault="001D238C">
      <w:pPr>
        <w:ind w:firstLine="709"/>
        <w:rPr>
          <w:rFonts w:ascii="仿宋_GB2312" w:eastAsia="仿宋_GB2312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2020年期末，我单位共有车辆</w:t>
      </w:r>
      <w:r w:rsidR="00C4673C">
        <w:rPr>
          <w:rFonts w:ascii="仿宋_GB2312" w:eastAsia="仿宋_GB2312" w:hint="eastAsia"/>
          <w:sz w:val="32"/>
          <w:szCs w:val="32"/>
        </w:rPr>
        <w:t xml:space="preserve"> </w:t>
      </w:r>
      <w:r w:rsidRPr="00C4673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 w:rsidR="00C4673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 辆、一般执法执勤车辆</w:t>
      </w:r>
      <w:r w:rsidR="00C4673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 辆、特种专业技术用车</w:t>
      </w:r>
      <w:r w:rsidR="00C4673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 辆、其他用车0辆，其他用车主要是离退休干部用车 0 辆、应急保障车辆0辆。单价50万元以上通用设备</w:t>
      </w:r>
      <w:r w:rsidR="00C4673C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套，单位价值100万元以上专用设备</w:t>
      </w:r>
      <w:r w:rsidR="00C4673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0套。</w:t>
      </w:r>
    </w:p>
    <w:p w:rsidR="00306C95" w:rsidRPr="00C4673C" w:rsidRDefault="001D238C" w:rsidP="00C4673C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（五）专项转移支付情况</w:t>
      </w:r>
    </w:p>
    <w:p w:rsidR="00306C95" w:rsidRDefault="00C4673C" w:rsidP="00C4673C">
      <w:pPr>
        <w:ind w:firstLineChars="219" w:firstLine="701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我单位负责的专项转移支付项目共有1项，主要是：危房改造项目</w:t>
      </w:r>
      <w:r w:rsidR="001D238C">
        <w:rPr>
          <w:rFonts w:ascii="仿宋_GB2312" w:eastAsia="仿宋_GB2312" w:hint="eastAsia"/>
          <w:sz w:val="32"/>
          <w:szCs w:val="32"/>
        </w:rPr>
        <w:t>191.4万元。</w:t>
      </w:r>
      <w:bookmarkStart w:id="0" w:name="_GoBack"/>
      <w:bookmarkEnd w:id="0"/>
    </w:p>
    <w:p w:rsidR="00C4673C" w:rsidRDefault="00C4673C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</w:p>
    <w:p w:rsidR="00306C95" w:rsidRDefault="001D238C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二、财政专户管理资金：是指缴入财政专户、实行专项管理的高中以上学费、住宿费、高校委托培训费、函大、电大、夜大及短期培训费等教育收费。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三、事业收入：是指事业单位开展专业活动及辅助活动所取得的收入，不包括教育收费。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四、事业单位经营收入：是指事业单位在专业业务活动</w:t>
      </w:r>
      <w:r>
        <w:rPr>
          <w:rFonts w:ascii="仿宋_GB2312" w:eastAsia="仿宋_GB2312" w:hint="eastAsia"/>
          <w:sz w:val="32"/>
          <w:szCs w:val="32"/>
        </w:rPr>
        <w:lastRenderedPageBreak/>
        <w:t>及其辅助活动之外开展独立核算经营活动取得的收入。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五、其他收入：是指单位取得的除“财政拨款”、“事业收入”、“事业单位经营收入”等以外的收入。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七、基本支出：是指为保障机构正常运转、完成日常工作任务所必需的开支，其内容包括人员经费和日常公用经费两部分。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八、项目支出：是指在基本支出之外，为完成特定的行政工作任务或事业发展目标所发生的支出。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九、“三公”经费：是指纳入本级财政预算管理，单位使用财政拨款安排的因公出国（境）费、公务用车购置及运行费和公务接待费。其中，因公出国（境）费反映单位公务出国（境）的住宿费、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差</w:t>
      </w:r>
      <w:r>
        <w:rPr>
          <w:rFonts w:ascii="仿宋_GB2312" w:eastAsia="仿宋_GB2312" w:hint="eastAsia"/>
          <w:sz w:val="32"/>
          <w:szCs w:val="32"/>
        </w:rPr>
        <w:t>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306C95" w:rsidRDefault="001D238C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十、</w:t>
      </w:r>
      <w:r>
        <w:rPr>
          <w:rFonts w:ascii="仿宋_GB2312" w:eastAsia="仿宋_GB2312" w:hint="eastAsia"/>
          <w:bCs/>
          <w:sz w:val="32"/>
          <w:szCs w:val="32"/>
        </w:rPr>
        <w:t>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306C95" w:rsidRDefault="00306C95">
      <w:pPr>
        <w:ind w:firstLine="709"/>
        <w:rPr>
          <w:rFonts w:ascii="仿宋_GB2312" w:eastAsia="仿宋_GB2312"/>
          <w:sz w:val="32"/>
          <w:szCs w:val="32"/>
        </w:rPr>
      </w:pPr>
    </w:p>
    <w:p w:rsidR="00306C95" w:rsidRDefault="001D238C">
      <w:pPr>
        <w:ind w:firstLine="42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附件：2021年度单位预算表</w:t>
      </w:r>
    </w:p>
    <w:p w:rsidR="00306C95" w:rsidRDefault="001D238C">
      <w:pPr>
        <w:snapToGrid w:val="0"/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一、单位收支总体情况表</w:t>
      </w:r>
    </w:p>
    <w:p w:rsidR="00306C95" w:rsidRDefault="001D238C">
      <w:pPr>
        <w:snapToGrid w:val="0"/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二、单位收入总体情况表</w:t>
      </w:r>
    </w:p>
    <w:p w:rsidR="00306C95" w:rsidRDefault="001D238C">
      <w:pPr>
        <w:snapToGrid w:val="0"/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三、单位支出总体情况表</w:t>
      </w:r>
    </w:p>
    <w:p w:rsidR="00306C95" w:rsidRDefault="001D238C">
      <w:pPr>
        <w:snapToGrid w:val="0"/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四、财政拨款收支总体情况表</w:t>
      </w:r>
    </w:p>
    <w:p w:rsidR="00306C95" w:rsidRDefault="001D238C">
      <w:pPr>
        <w:snapToGrid w:val="0"/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五、一般公共预算支出情况表</w:t>
      </w:r>
    </w:p>
    <w:p w:rsidR="00306C95" w:rsidRDefault="001D238C">
      <w:pPr>
        <w:snapToGrid w:val="0"/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六、一般公共预算基本支出情况表</w:t>
      </w:r>
    </w:p>
    <w:p w:rsidR="00306C95" w:rsidRDefault="001D238C">
      <w:pPr>
        <w:snapToGrid w:val="0"/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七、一般公共预算“三公”经费支出情况表</w:t>
      </w:r>
    </w:p>
    <w:p w:rsidR="00306C95" w:rsidRDefault="001D238C">
      <w:pPr>
        <w:snapToGrid w:val="0"/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八、政府性基金预算支出情况表</w:t>
      </w:r>
    </w:p>
    <w:p w:rsidR="00306C95" w:rsidRDefault="001D238C" w:rsidP="00C4673C">
      <w:pPr>
        <w:snapToGrid w:val="0"/>
        <w:spacing w:line="360" w:lineRule="auto"/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九、支出经济分类汇总表</w:t>
      </w:r>
    </w:p>
    <w:p w:rsidR="00306C95" w:rsidRDefault="00306C95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sectPr w:rsidR="00306C95" w:rsidSect="00306C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07" w:rsidRDefault="00073107" w:rsidP="00306C95">
      <w:r>
        <w:separator/>
      </w:r>
    </w:p>
  </w:endnote>
  <w:endnote w:type="continuationSeparator" w:id="0">
    <w:p w:rsidR="00073107" w:rsidRDefault="00073107" w:rsidP="0030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95" w:rsidRDefault="00E619A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306C95" w:rsidRDefault="00E619A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D238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5417E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07" w:rsidRDefault="00073107" w:rsidP="00306C95">
      <w:r>
        <w:separator/>
      </w:r>
    </w:p>
  </w:footnote>
  <w:footnote w:type="continuationSeparator" w:id="0">
    <w:p w:rsidR="00073107" w:rsidRDefault="00073107" w:rsidP="00306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8E665B"/>
    <w:multiLevelType w:val="singleLevel"/>
    <w:tmpl w:val="268E665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OGM5MzgyZWJkNTc5NTY1MzI1NDM2NGNhNjZjYTYzNWMifQ=="/>
  </w:docVars>
  <w:rsids>
    <w:rsidRoot w:val="006E0667"/>
    <w:rsid w:val="00000164"/>
    <w:rsid w:val="00031516"/>
    <w:rsid w:val="00054BD9"/>
    <w:rsid w:val="00073107"/>
    <w:rsid w:val="00096758"/>
    <w:rsid w:val="000A21F8"/>
    <w:rsid w:val="00163512"/>
    <w:rsid w:val="00197CC4"/>
    <w:rsid w:val="001D238C"/>
    <w:rsid w:val="002A31EF"/>
    <w:rsid w:val="002F2F0E"/>
    <w:rsid w:val="00306C95"/>
    <w:rsid w:val="00311D42"/>
    <w:rsid w:val="00373D7B"/>
    <w:rsid w:val="003A0929"/>
    <w:rsid w:val="003A3239"/>
    <w:rsid w:val="003F497C"/>
    <w:rsid w:val="00443BE5"/>
    <w:rsid w:val="00470C6C"/>
    <w:rsid w:val="004B5D7D"/>
    <w:rsid w:val="004F7768"/>
    <w:rsid w:val="00514787"/>
    <w:rsid w:val="00545A43"/>
    <w:rsid w:val="00564FBA"/>
    <w:rsid w:val="00590959"/>
    <w:rsid w:val="005B595D"/>
    <w:rsid w:val="00630DFF"/>
    <w:rsid w:val="00671A9B"/>
    <w:rsid w:val="006857C5"/>
    <w:rsid w:val="0068696D"/>
    <w:rsid w:val="006C648E"/>
    <w:rsid w:val="006E0667"/>
    <w:rsid w:val="00715345"/>
    <w:rsid w:val="00763A9E"/>
    <w:rsid w:val="007A79BD"/>
    <w:rsid w:val="0083133B"/>
    <w:rsid w:val="008747E3"/>
    <w:rsid w:val="00921CA8"/>
    <w:rsid w:val="00972071"/>
    <w:rsid w:val="00984F09"/>
    <w:rsid w:val="009A0537"/>
    <w:rsid w:val="009D0D41"/>
    <w:rsid w:val="00A527E7"/>
    <w:rsid w:val="00AC7B36"/>
    <w:rsid w:val="00AD7AE6"/>
    <w:rsid w:val="00B5417E"/>
    <w:rsid w:val="00BC6702"/>
    <w:rsid w:val="00C4673C"/>
    <w:rsid w:val="00D72B10"/>
    <w:rsid w:val="00E0218D"/>
    <w:rsid w:val="00E13A03"/>
    <w:rsid w:val="00E619AD"/>
    <w:rsid w:val="00ED2B32"/>
    <w:rsid w:val="00F937EB"/>
    <w:rsid w:val="030C1837"/>
    <w:rsid w:val="04C24CD3"/>
    <w:rsid w:val="05F750B9"/>
    <w:rsid w:val="066D0C7E"/>
    <w:rsid w:val="06BE1DED"/>
    <w:rsid w:val="07EC657B"/>
    <w:rsid w:val="0C956DB9"/>
    <w:rsid w:val="0D0A4958"/>
    <w:rsid w:val="0E8B0118"/>
    <w:rsid w:val="10BB1A3D"/>
    <w:rsid w:val="10D93902"/>
    <w:rsid w:val="11F148A3"/>
    <w:rsid w:val="12616F90"/>
    <w:rsid w:val="12686164"/>
    <w:rsid w:val="136F6984"/>
    <w:rsid w:val="17024C77"/>
    <w:rsid w:val="1BF57D8E"/>
    <w:rsid w:val="1C6B678C"/>
    <w:rsid w:val="1E1C1FAB"/>
    <w:rsid w:val="20D65FDF"/>
    <w:rsid w:val="20F53F6B"/>
    <w:rsid w:val="21172D08"/>
    <w:rsid w:val="25097E0B"/>
    <w:rsid w:val="28103B89"/>
    <w:rsid w:val="2D780E48"/>
    <w:rsid w:val="3168305B"/>
    <w:rsid w:val="37740D13"/>
    <w:rsid w:val="39CE1876"/>
    <w:rsid w:val="3AEB3A7E"/>
    <w:rsid w:val="3BBC1D2C"/>
    <w:rsid w:val="3DB812AD"/>
    <w:rsid w:val="41040419"/>
    <w:rsid w:val="423D3584"/>
    <w:rsid w:val="446059C4"/>
    <w:rsid w:val="471314C5"/>
    <w:rsid w:val="48EC3681"/>
    <w:rsid w:val="4A183A49"/>
    <w:rsid w:val="4B17485A"/>
    <w:rsid w:val="4B540996"/>
    <w:rsid w:val="4B86067F"/>
    <w:rsid w:val="4B901AAA"/>
    <w:rsid w:val="4CB25A45"/>
    <w:rsid w:val="4DC340C1"/>
    <w:rsid w:val="4EB23847"/>
    <w:rsid w:val="4F4E22B8"/>
    <w:rsid w:val="515801C7"/>
    <w:rsid w:val="55BF499C"/>
    <w:rsid w:val="55CA7913"/>
    <w:rsid w:val="576B0713"/>
    <w:rsid w:val="58802D5A"/>
    <w:rsid w:val="59CD76D7"/>
    <w:rsid w:val="5A7054A3"/>
    <w:rsid w:val="5A9E72FD"/>
    <w:rsid w:val="5AB45193"/>
    <w:rsid w:val="5CA8687F"/>
    <w:rsid w:val="60AF768B"/>
    <w:rsid w:val="60D15B65"/>
    <w:rsid w:val="60D3160D"/>
    <w:rsid w:val="67471495"/>
    <w:rsid w:val="6AA309C2"/>
    <w:rsid w:val="6B001859"/>
    <w:rsid w:val="6DD00BE6"/>
    <w:rsid w:val="6EBA27AD"/>
    <w:rsid w:val="6F920B9B"/>
    <w:rsid w:val="6F9B7A32"/>
    <w:rsid w:val="72356867"/>
    <w:rsid w:val="72CE3402"/>
    <w:rsid w:val="7701693E"/>
    <w:rsid w:val="78BD42BC"/>
    <w:rsid w:val="79D11516"/>
    <w:rsid w:val="7A0415DC"/>
    <w:rsid w:val="7B530E71"/>
    <w:rsid w:val="7CA378FF"/>
    <w:rsid w:val="7CAB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06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6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6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6C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6C95"/>
    <w:rPr>
      <w:sz w:val="18"/>
      <w:szCs w:val="18"/>
    </w:rPr>
  </w:style>
  <w:style w:type="paragraph" w:styleId="a6">
    <w:name w:val="List Paragraph"/>
    <w:basedOn w:val="a"/>
    <w:uiPriority w:val="34"/>
    <w:qFormat/>
    <w:rsid w:val="00306C95"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06C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419</Words>
  <Characters>2392</Characters>
  <Application>Microsoft Office Word</Application>
  <DocSecurity>0</DocSecurity>
  <Lines>19</Lines>
  <Paragraphs>5</Paragraphs>
  <ScaleCrop>false</ScaleCrop>
  <Company>Sky123.Org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Administrator</cp:lastModifiedBy>
  <cp:revision>16</cp:revision>
  <cp:lastPrinted>2022-05-18T02:02:00Z</cp:lastPrinted>
  <dcterms:created xsi:type="dcterms:W3CDTF">2019-09-16T03:24:00Z</dcterms:created>
  <dcterms:modified xsi:type="dcterms:W3CDTF">2022-09-08T09:31:00Z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6179F8220607445292BC6DD44A1920EB</vt:lpwstr>
  </property>
</Properties>
</file>