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8"/>
          <w:szCs w:val="32"/>
        </w:rPr>
      </w:pPr>
      <w:r>
        <w:rPr>
          <w:rFonts w:hint="eastAsia" w:ascii="方正大标宋简体" w:hAnsi="方正大标宋简体" w:eastAsia="方正大标宋简体" w:cs="方正大标宋简体"/>
          <w:w w:val="90"/>
          <w:sz w:val="44"/>
          <w:szCs w:val="32"/>
        </w:rPr>
        <w:t>邓州市</w:t>
      </w:r>
      <w:r>
        <w:rPr>
          <w:rFonts w:hint="eastAsia" w:ascii="方正大标宋简体" w:hAnsi="方正大标宋简体" w:eastAsia="方正大标宋简体" w:cs="方正大标宋简体"/>
          <w:w w:val="90"/>
          <w:sz w:val="44"/>
          <w:szCs w:val="32"/>
          <w:lang w:val="en-US" w:eastAsia="zh-CN"/>
        </w:rPr>
        <w:t>2</w:t>
      </w:r>
      <w:r>
        <w:rPr>
          <w:rFonts w:hint="eastAsia" w:ascii="方正大标宋简体" w:hAnsi="方正大标宋简体" w:eastAsia="方正大标宋简体" w:cs="方正大标宋简体"/>
          <w:w w:val="90"/>
          <w:sz w:val="44"/>
          <w:szCs w:val="32"/>
        </w:rPr>
        <w:t>021年</w:t>
      </w:r>
      <w:r>
        <w:rPr>
          <w:rFonts w:hint="eastAsia" w:ascii="方正大标宋简体" w:hAnsi="方正大标宋简体" w:eastAsia="方正大标宋简体" w:cs="方正大标宋简体"/>
          <w:w w:val="90"/>
          <w:sz w:val="44"/>
          <w:szCs w:val="32"/>
          <w:lang w:val="en-US" w:eastAsia="zh-CN"/>
        </w:rPr>
        <w:t>结核病防治所</w:t>
      </w:r>
      <w:r>
        <w:rPr>
          <w:rFonts w:hint="eastAsia" w:ascii="方正大标宋简体" w:hAnsi="方正大标宋简体" w:eastAsia="方正大标宋简体" w:cs="方正大标宋简体"/>
          <w:w w:val="90"/>
          <w:sz w:val="44"/>
          <w:szCs w:val="32"/>
          <w:lang w:eastAsia="zh-CN"/>
        </w:rPr>
        <w:t>单位</w:t>
      </w:r>
      <w:r>
        <w:rPr>
          <w:rFonts w:hint="eastAsia" w:ascii="方正大标宋简体" w:hAnsi="方正大标宋简体" w:eastAsia="方正大标宋简体" w:cs="方正大标宋简体"/>
          <w:w w:val="90"/>
          <w:sz w:val="44"/>
          <w:szCs w:val="32"/>
        </w:rPr>
        <w:t>预算基本情况说明</w:t>
      </w:r>
    </w:p>
    <w:p>
      <w:pPr>
        <w:jc w:val="center"/>
        <w:rPr>
          <w:rFonts w:ascii="黑体" w:hAnsi="宋体" w:eastAsia="黑体"/>
          <w:sz w:val="36"/>
          <w:szCs w:val="32"/>
        </w:rPr>
      </w:pPr>
      <w:r>
        <w:rPr>
          <w:rFonts w:hint="eastAsia" w:ascii="黑体" w:hAnsi="宋体" w:eastAsia="黑体"/>
          <w:sz w:val="36"/>
          <w:szCs w:val="32"/>
        </w:rPr>
        <w:t>目  录</w:t>
      </w:r>
    </w:p>
    <w:p>
      <w:pPr>
        <w:spacing w:beforeLines="100"/>
        <w:jc w:val="left"/>
        <w:rPr>
          <w:rFonts w:ascii="黑体" w:hAnsi="宋体" w:eastAsia="黑体"/>
          <w:sz w:val="32"/>
          <w:szCs w:val="32"/>
        </w:rPr>
      </w:pPr>
      <w:r>
        <w:rPr>
          <w:rFonts w:hint="eastAsia" w:ascii="黑体" w:hAnsi="宋体" w:eastAsia="黑体"/>
          <w:sz w:val="32"/>
          <w:szCs w:val="32"/>
        </w:rPr>
        <w:t>第一部分  邓州市</w:t>
      </w:r>
      <w:r>
        <w:rPr>
          <w:rFonts w:hint="eastAsia" w:ascii="黑体" w:hAnsi="宋体" w:eastAsia="黑体"/>
          <w:sz w:val="32"/>
          <w:szCs w:val="32"/>
          <w:lang w:val="en-US" w:eastAsia="zh-CN"/>
        </w:rPr>
        <w:t>结核病防治所</w:t>
      </w:r>
      <w:r>
        <w:rPr>
          <w:rFonts w:hint="eastAsia" w:ascii="黑体" w:hAnsi="宋体" w:eastAsia="黑体"/>
          <w:sz w:val="32"/>
          <w:szCs w:val="32"/>
        </w:rPr>
        <w:t>概况</w:t>
      </w:r>
    </w:p>
    <w:p>
      <w:pPr>
        <w:pStyle w:val="8"/>
        <w:numPr>
          <w:ilvl w:val="0"/>
          <w:numId w:val="1"/>
        </w:numPr>
        <w:jc w:val="left"/>
        <w:rPr>
          <w:rFonts w:ascii="仿宋_GB2312" w:hAnsi="宋体" w:eastAsia="仿宋_GB2312"/>
          <w:sz w:val="32"/>
          <w:szCs w:val="32"/>
        </w:rPr>
      </w:pPr>
      <w:r>
        <w:rPr>
          <w:rFonts w:hint="eastAsia" w:ascii="仿宋_GB2312" w:hAnsi="宋体" w:eastAsia="仿宋_GB2312"/>
          <w:sz w:val="32"/>
          <w:szCs w:val="32"/>
        </w:rPr>
        <w:t>主要职责</w:t>
      </w:r>
    </w:p>
    <w:p>
      <w:pPr>
        <w:pStyle w:val="8"/>
        <w:numPr>
          <w:ilvl w:val="0"/>
          <w:numId w:val="1"/>
        </w:numPr>
        <w:jc w:val="left"/>
        <w:rPr>
          <w:rFonts w:ascii="仿宋_GB2312" w:hAnsi="宋体" w:eastAsia="仿宋_GB2312"/>
          <w:sz w:val="32"/>
          <w:szCs w:val="32"/>
        </w:rPr>
      </w:pPr>
      <w:r>
        <w:rPr>
          <w:rFonts w:hint="eastAsia" w:ascii="仿宋_GB2312" w:hAnsi="宋体" w:eastAsia="仿宋_GB2312"/>
          <w:sz w:val="32"/>
          <w:szCs w:val="32"/>
        </w:rPr>
        <w:t>预算单位构成情况</w:t>
      </w:r>
    </w:p>
    <w:p>
      <w:pPr>
        <w:jc w:val="left"/>
        <w:rPr>
          <w:rFonts w:ascii="黑体" w:hAnsi="宋体" w:eastAsia="黑体"/>
          <w:sz w:val="32"/>
          <w:szCs w:val="32"/>
        </w:rPr>
      </w:pPr>
      <w:r>
        <w:rPr>
          <w:rFonts w:hint="eastAsia" w:ascii="黑体" w:hAnsi="宋体" w:eastAsia="黑体"/>
          <w:sz w:val="32"/>
          <w:szCs w:val="32"/>
        </w:rPr>
        <w:t>第二部分 邓州市</w:t>
      </w:r>
      <w:r>
        <w:rPr>
          <w:rFonts w:hint="eastAsia" w:ascii="黑体" w:hAnsi="宋体" w:eastAsia="黑体"/>
          <w:sz w:val="32"/>
          <w:szCs w:val="32"/>
          <w:lang w:val="en-US" w:eastAsia="zh-CN"/>
        </w:rPr>
        <w:t>结核病防治所</w:t>
      </w:r>
      <w:r>
        <w:rPr>
          <w:rFonts w:hint="eastAsia" w:ascii="黑体" w:hAnsi="宋体" w:eastAsia="黑体"/>
          <w:sz w:val="32"/>
          <w:szCs w:val="32"/>
        </w:rPr>
        <w:t>2021年</w:t>
      </w:r>
      <w:r>
        <w:rPr>
          <w:rFonts w:hint="eastAsia" w:ascii="黑体" w:hAnsi="宋体" w:eastAsia="黑体"/>
          <w:sz w:val="32"/>
          <w:szCs w:val="32"/>
          <w:lang w:eastAsia="zh-CN"/>
        </w:rPr>
        <w:t>单位</w:t>
      </w:r>
      <w:r>
        <w:rPr>
          <w:rFonts w:hint="eastAsia" w:ascii="黑体" w:hAnsi="宋体" w:eastAsia="黑体"/>
          <w:sz w:val="32"/>
          <w:szCs w:val="32"/>
        </w:rPr>
        <w:t>预算情况说明</w:t>
      </w:r>
    </w:p>
    <w:p>
      <w:pPr>
        <w:jc w:val="left"/>
        <w:rPr>
          <w:rFonts w:ascii="黑体" w:hAnsi="宋体" w:eastAsia="黑体"/>
          <w:sz w:val="32"/>
          <w:szCs w:val="32"/>
        </w:rPr>
      </w:pPr>
      <w:r>
        <w:rPr>
          <w:rFonts w:hint="eastAsia" w:ascii="黑体" w:hAnsi="宋体" w:eastAsia="黑体"/>
          <w:sz w:val="32"/>
          <w:szCs w:val="32"/>
        </w:rPr>
        <w:t>第三部分 名词解释</w:t>
      </w:r>
    </w:p>
    <w:p>
      <w:pPr>
        <w:rPr>
          <w:rFonts w:ascii="仿宋_GB2312" w:hAnsi="宋体" w:eastAsia="仿宋_GB2312"/>
          <w:sz w:val="32"/>
          <w:szCs w:val="32"/>
        </w:rPr>
      </w:pPr>
      <w:r>
        <w:rPr>
          <w:rFonts w:hint="eastAsia" w:ascii="黑体" w:hAnsi="宋体" w:eastAsia="黑体"/>
          <w:sz w:val="32"/>
          <w:szCs w:val="32"/>
        </w:rPr>
        <w:t>附件</w:t>
      </w:r>
      <w:r>
        <w:rPr>
          <w:rFonts w:hint="eastAsia" w:ascii="仿宋_GB2312" w:hAnsi="宋体" w:eastAsia="仿宋_GB2312"/>
          <w:sz w:val="32"/>
          <w:szCs w:val="32"/>
        </w:rPr>
        <w:t>：2021年度单位预算表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一、单位收支总体情况表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二、单位收入总体情况表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三、单位支出总体情况表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四、财政拨款收支总体情况表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五、一般公共预算支出情况表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七、一般公共预算“三公”经费支出情况表</w:t>
      </w:r>
    </w:p>
    <w:p>
      <w:pPr>
        <w:snapToGrid w:val="0"/>
        <w:spacing w:line="360" w:lineRule="auto"/>
        <w:ind w:firstLine="425" w:firstLineChars="133"/>
        <w:rPr>
          <w:rFonts w:ascii="仿宋_GB2312" w:hAnsi="宋体" w:eastAsia="仿宋_GB2312"/>
          <w:sz w:val="28"/>
          <w:szCs w:val="28"/>
        </w:rPr>
      </w:pPr>
      <w:r>
        <w:rPr>
          <w:rFonts w:hint="eastAsia" w:ascii="仿宋_GB2312" w:hAnsi="宋体"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snapToGrid w:val="0"/>
        <w:spacing w:line="360" w:lineRule="auto"/>
        <w:ind w:firstLine="372" w:firstLineChars="133"/>
        <w:rPr>
          <w:rFonts w:ascii="仿宋_GB2312" w:hAnsi="宋体" w:eastAsia="仿宋_GB2312"/>
          <w:sz w:val="28"/>
          <w:szCs w:val="28"/>
        </w:rPr>
      </w:pPr>
    </w:p>
    <w:p>
      <w:pPr>
        <w:ind w:firstLine="427" w:firstLineChars="133"/>
        <w:rPr>
          <w:rFonts w:ascii="仿宋_GB2312" w:hAnsi="宋体" w:eastAsia="仿宋_GB2312"/>
          <w:b/>
          <w:sz w:val="32"/>
          <w:szCs w:val="32"/>
        </w:rPr>
      </w:pPr>
      <w:r>
        <w:rPr>
          <w:rFonts w:ascii="仿宋_GB2312" w:hAnsi="宋体" w:eastAsia="仿宋_GB2312"/>
          <w:b/>
          <w:sz w:val="32"/>
          <w:szCs w:val="32"/>
        </w:rPr>
        <w:br w:type="page"/>
      </w:r>
    </w:p>
    <w:p>
      <w:pPr>
        <w:jc w:val="center"/>
        <w:rPr>
          <w:rFonts w:ascii="黑体" w:hAnsi="宋体" w:eastAsia="黑体"/>
          <w:sz w:val="32"/>
          <w:szCs w:val="32"/>
        </w:rPr>
      </w:pPr>
      <w:r>
        <w:rPr>
          <w:rFonts w:hint="eastAsia" w:ascii="黑体" w:hAnsi="宋体" w:eastAsia="黑体"/>
          <w:sz w:val="32"/>
          <w:szCs w:val="32"/>
        </w:rPr>
        <w:t>第一部分</w:t>
      </w:r>
    </w:p>
    <w:p>
      <w:pPr>
        <w:jc w:val="center"/>
        <w:rPr>
          <w:rFonts w:ascii="仿宋_GB2312" w:eastAsia="仿宋_GB2312"/>
          <w:b/>
          <w:sz w:val="32"/>
          <w:szCs w:val="32"/>
        </w:rPr>
      </w:pPr>
      <w:r>
        <w:rPr>
          <w:rFonts w:hint="eastAsia" w:ascii="黑体" w:hAnsi="宋体" w:eastAsia="黑体"/>
          <w:sz w:val="32"/>
          <w:szCs w:val="32"/>
        </w:rPr>
        <w:t>邓州市</w:t>
      </w:r>
      <w:r>
        <w:rPr>
          <w:rFonts w:hint="eastAsia" w:ascii="黑体" w:hAnsi="宋体" w:eastAsia="黑体"/>
          <w:sz w:val="32"/>
          <w:szCs w:val="32"/>
          <w:lang w:eastAsia="zh-CN"/>
        </w:rPr>
        <w:t>结核病防治所</w:t>
      </w:r>
      <w:r>
        <w:rPr>
          <w:rFonts w:hint="eastAsia" w:ascii="黑体" w:hAnsi="宋体" w:eastAsia="黑体"/>
          <w:sz w:val="32"/>
          <w:szCs w:val="32"/>
        </w:rPr>
        <w:t>概况</w:t>
      </w:r>
    </w:p>
    <w:p>
      <w:pPr>
        <w:ind w:firstLine="566" w:firstLineChars="177"/>
        <w:rPr>
          <w:rFonts w:ascii="黑体" w:eastAsia="黑体"/>
          <w:sz w:val="32"/>
          <w:szCs w:val="32"/>
        </w:rPr>
      </w:pPr>
      <w:r>
        <w:rPr>
          <w:rFonts w:hint="eastAsia" w:ascii="黑体" w:eastAsia="黑体"/>
          <w:sz w:val="32"/>
          <w:szCs w:val="32"/>
        </w:rPr>
        <w:t>一、主要职责</w:t>
      </w:r>
    </w:p>
    <w:p>
      <w:pPr>
        <w:ind w:firstLine="425" w:firstLineChars="133"/>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一</w:t>
      </w:r>
      <w:r>
        <w:rPr>
          <w:rFonts w:hint="eastAsia" w:ascii="仿宋_GB2312" w:hAnsi="宋体" w:eastAsia="仿宋_GB2312"/>
          <w:sz w:val="32"/>
          <w:szCs w:val="32"/>
          <w:lang w:eastAsia="zh-CN"/>
        </w:rPr>
        <w:t>）</w:t>
      </w:r>
      <w:r>
        <w:rPr>
          <w:rFonts w:hint="eastAsia" w:ascii="仿宋_GB2312" w:hAnsi="宋体" w:eastAsia="仿宋_GB2312"/>
          <w:sz w:val="32"/>
          <w:szCs w:val="32"/>
        </w:rPr>
        <w:t>负责对所有就诊肺结核患者的诊断、报告、登记以及治疗服务，并做好相关信息的录入工作。</w:t>
      </w:r>
    </w:p>
    <w:p>
      <w:pPr>
        <w:ind w:firstLine="425" w:firstLineChars="133"/>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负责</w:t>
      </w:r>
      <w:r>
        <w:rPr>
          <w:rFonts w:hint="eastAsia" w:ascii="仿宋_GB2312" w:hAnsi="宋体" w:eastAsia="仿宋_GB2312"/>
          <w:sz w:val="32"/>
          <w:szCs w:val="32"/>
        </w:rPr>
        <w:t>开展对社区卫生服务中心医护人员的业务培训和技术指导。</w:t>
      </w:r>
    </w:p>
    <w:p>
      <w:pPr>
        <w:ind w:firstLine="425" w:firstLineChars="133"/>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三</w:t>
      </w:r>
      <w:r>
        <w:rPr>
          <w:rFonts w:hint="eastAsia" w:ascii="仿宋_GB2312" w:hAnsi="宋体" w:eastAsia="仿宋_GB2312"/>
          <w:sz w:val="32"/>
          <w:szCs w:val="32"/>
          <w:lang w:eastAsia="zh-CN"/>
        </w:rPr>
        <w:t>）</w:t>
      </w:r>
      <w:r>
        <w:rPr>
          <w:rFonts w:hint="eastAsia" w:ascii="仿宋_GB2312" w:hAnsi="宋体" w:eastAsia="仿宋_GB2312"/>
          <w:sz w:val="32"/>
          <w:szCs w:val="32"/>
        </w:rPr>
        <w:t>负责向市级定点医疗机构转诊疑难重症患者，向耐多药结核病定点</w:t>
      </w:r>
      <w:r>
        <w:rPr>
          <w:rFonts w:hint="eastAsia" w:ascii="仿宋_GB2312" w:hAnsi="宋体" w:eastAsia="仿宋_GB2312"/>
          <w:sz w:val="32"/>
          <w:szCs w:val="32"/>
          <w:lang w:eastAsia="zh-CN"/>
        </w:rPr>
        <w:t>医疗机构</w:t>
      </w:r>
      <w:r>
        <w:rPr>
          <w:rFonts w:hint="eastAsia" w:ascii="仿宋_GB2312" w:hAnsi="宋体" w:eastAsia="仿宋_GB2312"/>
          <w:sz w:val="32"/>
          <w:szCs w:val="32"/>
        </w:rPr>
        <w:t>转诊耐多药肺结核患者。</w:t>
      </w:r>
    </w:p>
    <w:p>
      <w:pPr>
        <w:ind w:firstLine="425" w:firstLineChars="133"/>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四</w:t>
      </w:r>
      <w:r>
        <w:rPr>
          <w:rFonts w:hint="eastAsia" w:ascii="仿宋_GB2312" w:hAnsi="宋体" w:eastAsia="仿宋_GB2312"/>
          <w:sz w:val="32"/>
          <w:szCs w:val="32"/>
          <w:lang w:eastAsia="zh-CN"/>
        </w:rPr>
        <w:t>）</w:t>
      </w:r>
      <w:r>
        <w:rPr>
          <w:rFonts w:hint="eastAsia" w:ascii="仿宋_GB2312" w:hAnsi="宋体" w:eastAsia="仿宋_GB2312"/>
          <w:sz w:val="32"/>
          <w:szCs w:val="32"/>
        </w:rPr>
        <w:t>建立与属地区疾病预防控制机构的信息沟通机制，并接受疾病预防控制机构对结核病防治相关工作的技术指导和技术考核。</w:t>
      </w:r>
    </w:p>
    <w:p>
      <w:pPr>
        <w:ind w:firstLine="425" w:firstLineChars="133"/>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五</w:t>
      </w:r>
      <w:r>
        <w:rPr>
          <w:rFonts w:hint="eastAsia" w:ascii="仿宋_GB2312" w:hAnsi="宋体" w:eastAsia="仿宋_GB2312"/>
          <w:sz w:val="32"/>
          <w:szCs w:val="32"/>
          <w:lang w:eastAsia="zh-CN"/>
        </w:rPr>
        <w:t>）</w:t>
      </w:r>
      <w:r>
        <w:rPr>
          <w:rFonts w:hint="eastAsia" w:ascii="仿宋_GB2312" w:hAnsi="宋体" w:eastAsia="仿宋_GB2312"/>
          <w:sz w:val="32"/>
          <w:szCs w:val="32"/>
        </w:rPr>
        <w:t>开展对肺结核患者密切接触者和重点人群的筛查工作。</w:t>
      </w:r>
    </w:p>
    <w:p>
      <w:pPr>
        <w:ind w:firstLine="425" w:firstLineChars="133"/>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六</w:t>
      </w:r>
      <w:r>
        <w:rPr>
          <w:rFonts w:hint="eastAsia" w:ascii="仿宋_GB2312" w:hAnsi="宋体" w:eastAsia="仿宋_GB2312"/>
          <w:sz w:val="32"/>
          <w:szCs w:val="32"/>
          <w:lang w:eastAsia="zh-CN"/>
        </w:rPr>
        <w:t>）</w:t>
      </w:r>
      <w:r>
        <w:rPr>
          <w:rFonts w:hint="eastAsia" w:ascii="仿宋_GB2312" w:hAnsi="宋体" w:eastAsia="仿宋_GB2312"/>
          <w:sz w:val="32"/>
          <w:szCs w:val="32"/>
        </w:rPr>
        <w:t>开展对肺结核患者和家属的健康教育。</w:t>
      </w:r>
    </w:p>
    <w:p>
      <w:pPr>
        <w:ind w:firstLine="425" w:firstLineChars="133"/>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对精神病患者</w:t>
      </w:r>
      <w:r>
        <w:rPr>
          <w:rFonts w:hint="eastAsia" w:ascii="仿宋_GB2312" w:hAnsi="宋体" w:eastAsia="仿宋_GB2312"/>
          <w:sz w:val="32"/>
          <w:szCs w:val="32"/>
        </w:rPr>
        <w:t>提供门诊诊疗，患者应急状况处置</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精神残疾鉴定和重症</w:t>
      </w:r>
      <w:r>
        <w:rPr>
          <w:rFonts w:hint="eastAsia" w:ascii="仿宋_GB2312" w:hAnsi="宋体" w:eastAsia="仿宋_GB2312"/>
          <w:sz w:val="32"/>
          <w:szCs w:val="32"/>
        </w:rPr>
        <w:t>患者住院治疗服务。</w:t>
      </w:r>
    </w:p>
    <w:p>
      <w:pPr>
        <w:ind w:firstLine="425" w:firstLineChars="133"/>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八</w:t>
      </w:r>
      <w:r>
        <w:rPr>
          <w:rFonts w:hint="eastAsia" w:ascii="仿宋_GB2312" w:hAnsi="宋体" w:eastAsia="仿宋_GB2312"/>
          <w:sz w:val="32"/>
          <w:szCs w:val="32"/>
          <w:lang w:eastAsia="zh-CN"/>
        </w:rPr>
        <w:t>）</w:t>
      </w:r>
      <w:r>
        <w:rPr>
          <w:rFonts w:hint="eastAsia" w:ascii="仿宋_GB2312" w:hAnsi="宋体" w:eastAsia="仿宋_GB2312"/>
          <w:sz w:val="32"/>
          <w:szCs w:val="32"/>
        </w:rPr>
        <w:t>根据知情同意原则，向辖区内精防机构提供出院的重性精神疾病患者情况。</w:t>
      </w:r>
    </w:p>
    <w:p>
      <w:pPr>
        <w:ind w:firstLine="425" w:firstLineChars="133"/>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九</w:t>
      </w:r>
      <w:r>
        <w:rPr>
          <w:rFonts w:hint="eastAsia" w:ascii="仿宋_GB2312" w:hAnsi="宋体" w:eastAsia="仿宋_GB2312"/>
          <w:sz w:val="32"/>
          <w:szCs w:val="32"/>
          <w:lang w:eastAsia="zh-CN"/>
        </w:rPr>
        <w:t>）</w:t>
      </w:r>
      <w:r>
        <w:rPr>
          <w:rFonts w:hint="eastAsia" w:ascii="仿宋_GB2312" w:hAnsi="宋体" w:eastAsia="仿宋_GB2312"/>
          <w:sz w:val="32"/>
          <w:szCs w:val="32"/>
        </w:rPr>
        <w:t>对精神疾病防治责任区域内的乡镇卫生院上报的疑似患者进行诊断或诊断复核；定期派员到乡镇检查管理患者状况和处理疑难患者，调整药物治疗方案，指导基层医疗机构人员开展患者个案管理。</w:t>
      </w:r>
    </w:p>
    <w:p>
      <w:pPr>
        <w:ind w:firstLine="425" w:firstLineChars="133"/>
        <w:rPr>
          <w:rFonts w:hint="eastAsia" w:ascii="仿宋_GB2312" w:hAnsi="宋体" w:eastAsia="仿宋_GB2312"/>
          <w:sz w:val="32"/>
          <w:szCs w:val="32"/>
        </w:rPr>
      </w:pPr>
      <w:r>
        <w:rPr>
          <w:rFonts w:hint="eastAsia" w:ascii="仿宋_GB2312" w:hAnsi="宋体" w:eastAsia="仿宋_GB2312"/>
          <w:sz w:val="32"/>
          <w:szCs w:val="32"/>
          <w:lang w:val="en-US" w:eastAsia="zh-CN"/>
        </w:rPr>
        <w:t>（十）上级交办的其他任务。</w:t>
      </w:r>
    </w:p>
    <w:p>
      <w:pPr>
        <w:ind w:firstLine="320" w:firstLineChars="100"/>
        <w:rPr>
          <w:rFonts w:ascii="黑体" w:eastAsia="黑体"/>
          <w:sz w:val="32"/>
          <w:szCs w:val="32"/>
        </w:rPr>
      </w:pPr>
      <w:r>
        <w:rPr>
          <w:rFonts w:hint="eastAsia" w:ascii="黑体" w:eastAsia="黑体"/>
          <w:sz w:val="32"/>
          <w:szCs w:val="32"/>
        </w:rPr>
        <w:t>二、单位预算构成情况</w:t>
      </w:r>
    </w:p>
    <w:p>
      <w:pPr>
        <w:ind w:firstLine="640" w:firstLineChars="200"/>
        <w:rPr>
          <w:rFonts w:hint="eastAsia" w:ascii="黑体" w:hAnsi="宋体" w:eastAsia="黑体"/>
          <w:sz w:val="32"/>
          <w:szCs w:val="32"/>
        </w:rPr>
      </w:pPr>
      <w:r>
        <w:rPr>
          <w:rFonts w:hint="eastAsia" w:ascii="仿宋" w:hAnsi="仿宋" w:eastAsia="仿宋" w:cs="仿宋"/>
          <w:sz w:val="32"/>
          <w:szCs w:val="32"/>
          <w:lang w:val="en-US" w:eastAsia="zh-CN"/>
        </w:rPr>
        <w:t>邓州市结核病防治所单位预算包括：</w:t>
      </w:r>
      <w:r>
        <w:rPr>
          <w:rFonts w:hint="eastAsia" w:ascii="仿宋" w:hAnsi="仿宋" w:eastAsia="仿宋" w:cs="仿宋"/>
          <w:sz w:val="32"/>
          <w:szCs w:val="32"/>
        </w:rPr>
        <w:t>呼吸内科、</w:t>
      </w:r>
      <w:r>
        <w:rPr>
          <w:rFonts w:hint="eastAsia" w:ascii="仿宋" w:hAnsi="仿宋" w:eastAsia="仿宋" w:cs="仿宋"/>
          <w:sz w:val="32"/>
          <w:szCs w:val="32"/>
          <w:lang w:val="en-US" w:eastAsia="zh-CN"/>
        </w:rPr>
        <w:t>结核病科、</w:t>
      </w:r>
      <w:r>
        <w:rPr>
          <w:rFonts w:hint="eastAsia" w:ascii="仿宋" w:hAnsi="仿宋" w:eastAsia="仿宋" w:cs="仿宋"/>
          <w:sz w:val="32"/>
          <w:szCs w:val="32"/>
        </w:rPr>
        <w:t>外科、</w:t>
      </w:r>
      <w:r>
        <w:rPr>
          <w:rFonts w:hint="eastAsia" w:ascii="仿宋" w:hAnsi="仿宋" w:eastAsia="仿宋" w:cs="仿宋"/>
          <w:sz w:val="32"/>
          <w:szCs w:val="32"/>
          <w:lang w:val="en-US" w:eastAsia="zh-CN"/>
        </w:rPr>
        <w:t>中医</w:t>
      </w:r>
      <w:r>
        <w:rPr>
          <w:rFonts w:hint="eastAsia" w:ascii="仿宋" w:hAnsi="仿宋" w:eastAsia="仿宋" w:cs="仿宋"/>
          <w:sz w:val="32"/>
          <w:szCs w:val="32"/>
        </w:rPr>
        <w:t>科</w:t>
      </w:r>
      <w:r>
        <w:rPr>
          <w:rFonts w:hint="eastAsia" w:ascii="仿宋" w:hAnsi="仿宋" w:eastAsia="仿宋" w:cs="仿宋"/>
          <w:sz w:val="32"/>
          <w:szCs w:val="32"/>
          <w:lang w:eastAsia="zh-CN"/>
        </w:rPr>
        <w:t>、精神病科等科室的预算</w:t>
      </w:r>
      <w:r>
        <w:rPr>
          <w:rFonts w:hint="eastAsia" w:ascii="仿宋" w:hAnsi="仿宋" w:eastAsia="仿宋" w:cs="仿宋"/>
          <w:i w:val="0"/>
          <w:caps w:val="0"/>
          <w:color w:val="auto"/>
          <w:spacing w:val="0"/>
          <w:sz w:val="32"/>
          <w:szCs w:val="32"/>
          <w:shd w:val="clear" w:color="auto" w:fill="FFFFFF"/>
          <w:lang w:eastAsia="zh-CN"/>
        </w:rPr>
        <w:t>。</w:t>
      </w:r>
    </w:p>
    <w:p>
      <w:pPr>
        <w:ind w:firstLine="3520" w:firstLineChars="1100"/>
        <w:jc w:val="both"/>
        <w:rPr>
          <w:rFonts w:ascii="黑体" w:hAnsi="宋体" w:eastAsia="黑体"/>
          <w:sz w:val="32"/>
          <w:szCs w:val="32"/>
        </w:rPr>
      </w:pPr>
      <w:r>
        <w:rPr>
          <w:rFonts w:hint="eastAsia" w:ascii="黑体" w:hAnsi="宋体" w:eastAsia="黑体"/>
          <w:sz w:val="32"/>
          <w:szCs w:val="32"/>
        </w:rPr>
        <w:t>第二部分</w:t>
      </w:r>
    </w:p>
    <w:p>
      <w:pPr>
        <w:jc w:val="center"/>
        <w:rPr>
          <w:rFonts w:ascii="黑体" w:hAnsi="宋体" w:eastAsia="黑体"/>
          <w:sz w:val="32"/>
          <w:szCs w:val="32"/>
        </w:rPr>
      </w:pPr>
      <w:r>
        <w:rPr>
          <w:rFonts w:hint="eastAsia" w:ascii="黑体" w:hAnsi="宋体" w:eastAsia="黑体"/>
          <w:sz w:val="32"/>
          <w:szCs w:val="32"/>
        </w:rPr>
        <w:t>邓州市</w:t>
      </w:r>
      <w:r>
        <w:rPr>
          <w:rFonts w:hint="eastAsia" w:ascii="黑体" w:hAnsi="宋体" w:eastAsia="黑体"/>
          <w:sz w:val="32"/>
          <w:szCs w:val="32"/>
          <w:lang w:val="en-US" w:eastAsia="zh-CN"/>
        </w:rPr>
        <w:t>结核病防治所</w:t>
      </w:r>
      <w:r>
        <w:rPr>
          <w:rFonts w:hint="eastAsia" w:ascii="黑体" w:hAnsi="宋体" w:eastAsia="黑体"/>
          <w:sz w:val="32"/>
          <w:szCs w:val="32"/>
        </w:rPr>
        <w:t>2021年</w:t>
      </w:r>
      <w:r>
        <w:rPr>
          <w:rFonts w:hint="eastAsia" w:ascii="黑体" w:hAnsi="宋体" w:eastAsia="黑体"/>
          <w:sz w:val="32"/>
          <w:szCs w:val="32"/>
          <w:lang w:eastAsia="zh-CN"/>
        </w:rPr>
        <w:t>单位</w:t>
      </w:r>
      <w:r>
        <w:rPr>
          <w:rFonts w:hint="eastAsia" w:ascii="黑体" w:hAnsi="宋体" w:eastAsia="黑体"/>
          <w:sz w:val="32"/>
          <w:szCs w:val="32"/>
        </w:rPr>
        <w:t>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2021年收入总</w:t>
      </w:r>
      <w:r>
        <w:rPr>
          <w:rFonts w:hint="eastAsia" w:ascii="仿宋_GB2312" w:hAnsi="仿宋_GB2312" w:eastAsia="仿宋_GB2312" w:cs="仿宋_GB2312"/>
          <w:sz w:val="32"/>
          <w:szCs w:val="32"/>
          <w:lang w:val="en-US" w:eastAsia="zh-CN"/>
        </w:rPr>
        <w:t xml:space="preserve">计744.19 </w:t>
      </w:r>
      <w:r>
        <w:rPr>
          <w:rFonts w:hint="eastAsia" w:ascii="仿宋_GB2312" w:hAnsi="仿宋_GB2312" w:eastAsia="仿宋_GB2312" w:cs="仿宋_GB2312"/>
          <w:sz w:val="32"/>
          <w:szCs w:val="32"/>
        </w:rPr>
        <w:t>万元，支出总计</w:t>
      </w:r>
      <w:r>
        <w:rPr>
          <w:rFonts w:hint="eastAsia" w:ascii="仿宋_GB2312" w:hAnsi="仿宋_GB2312" w:eastAsia="仿宋_GB2312" w:cs="仿宋_GB2312"/>
          <w:sz w:val="32"/>
          <w:szCs w:val="32"/>
          <w:lang w:val="en-US" w:eastAsia="zh-CN"/>
        </w:rPr>
        <w:t>744.19</w:t>
      </w:r>
      <w:r>
        <w:rPr>
          <w:rFonts w:hint="eastAsia" w:ascii="仿宋_GB2312" w:hAnsi="仿宋_GB2312" w:eastAsia="仿宋_GB2312" w:cs="仿宋_GB2312"/>
          <w:sz w:val="32"/>
          <w:szCs w:val="32"/>
        </w:rPr>
        <w:t xml:space="preserve">万元，与2020年相比，收入、支出各降低 </w:t>
      </w:r>
      <w:r>
        <w:rPr>
          <w:rFonts w:hint="eastAsia" w:ascii="仿宋_GB2312" w:hAnsi="仿宋_GB2312" w:eastAsia="仿宋_GB2312" w:cs="仿宋_GB2312"/>
          <w:sz w:val="32"/>
          <w:szCs w:val="32"/>
          <w:lang w:val="en-US" w:eastAsia="zh-CN"/>
        </w:rPr>
        <w:t>3968.79</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lang w:val="en-US" w:eastAsia="zh-CN"/>
        </w:rPr>
        <w:t>政府暂停对医院整体迁建项目投入。</w:t>
      </w:r>
      <w:r>
        <w:rPr>
          <w:rFonts w:hint="eastAsia" w:ascii="仿宋_GB2312" w:hAnsi="仿宋_GB2312" w:eastAsia="仿宋_GB2312" w:cs="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2021年收入预算</w:t>
      </w:r>
      <w:r>
        <w:rPr>
          <w:rFonts w:hint="eastAsia" w:ascii="仿宋_GB2312" w:hAnsi="仿宋_GB2312" w:eastAsia="仿宋_GB2312" w:cs="仿宋_GB2312"/>
          <w:sz w:val="32"/>
          <w:szCs w:val="32"/>
          <w:lang w:val="en-US" w:eastAsia="zh-CN"/>
        </w:rPr>
        <w:t>744.19</w:t>
      </w:r>
      <w:r>
        <w:rPr>
          <w:rFonts w:hint="eastAsia" w:ascii="仿宋_GB2312" w:hAnsi="仿宋_GB2312" w:eastAsia="仿宋_GB2312" w:cs="仿宋_GB2312"/>
          <w:sz w:val="32"/>
          <w:szCs w:val="32"/>
        </w:rPr>
        <w:t>万元，其中：一般公共预算收入</w:t>
      </w:r>
      <w:r>
        <w:rPr>
          <w:rFonts w:hint="eastAsia" w:ascii="仿宋_GB2312" w:hAnsi="仿宋_GB2312" w:eastAsia="仿宋_GB2312" w:cs="仿宋_GB2312"/>
          <w:sz w:val="32"/>
          <w:szCs w:val="32"/>
          <w:lang w:val="en-US" w:eastAsia="zh-CN"/>
        </w:rPr>
        <w:t>636.69</w:t>
      </w:r>
      <w:r>
        <w:rPr>
          <w:rFonts w:hint="eastAsia" w:ascii="仿宋_GB2312" w:hAnsi="仿宋_GB2312" w:eastAsia="仿宋_GB2312" w:cs="仿宋_GB2312"/>
          <w:sz w:val="32"/>
          <w:szCs w:val="32"/>
        </w:rPr>
        <w:t xml:space="preserve"> 万元，政府性基金收入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万元，国有资本经营预算收入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 万元，财政专户管理资金收入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hAnsi="仿宋_GB2312" w:eastAsia="仿宋_GB2312" w:cs="仿宋_GB2312"/>
          <w:sz w:val="32"/>
          <w:szCs w:val="32"/>
        </w:rPr>
        <w:t>2021年支出预算</w:t>
      </w:r>
      <w:r>
        <w:rPr>
          <w:rFonts w:hint="eastAsia" w:ascii="仿宋_GB2312" w:hAnsi="仿宋_GB2312" w:eastAsia="仿宋_GB2312" w:cs="仿宋_GB2312"/>
          <w:sz w:val="32"/>
          <w:szCs w:val="32"/>
          <w:lang w:val="en-US" w:eastAsia="zh-CN"/>
        </w:rPr>
        <w:t>744.19</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387.19</w:t>
      </w:r>
      <w:r>
        <w:rPr>
          <w:rFonts w:hint="eastAsia" w:ascii="仿宋_GB2312" w:eastAsia="仿宋_GB2312"/>
          <w:sz w:val="32"/>
          <w:szCs w:val="32"/>
        </w:rPr>
        <w:t xml:space="preserve"> </w:t>
      </w:r>
      <w:r>
        <w:rPr>
          <w:rFonts w:hint="eastAsia" w:ascii="仿宋_GB2312" w:hAnsi="仿宋_GB2312" w:eastAsia="仿宋_GB2312" w:cs="仿宋_GB2312"/>
          <w:sz w:val="32"/>
          <w:szCs w:val="32"/>
        </w:rPr>
        <w:t>万元，占年度计划的</w:t>
      </w:r>
      <w:r>
        <w:rPr>
          <w:rFonts w:hint="eastAsia" w:ascii="仿宋_GB2312" w:hAnsi="仿宋_GB2312" w:eastAsia="仿宋_GB2312" w:cs="仿宋_GB2312"/>
          <w:sz w:val="32"/>
          <w:szCs w:val="32"/>
          <w:lang w:val="en-US" w:eastAsia="zh-CN"/>
        </w:rPr>
        <w:t>52.03</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249.5</w:t>
      </w:r>
      <w:r>
        <w:rPr>
          <w:rFonts w:hint="eastAsia" w:ascii="仿宋_GB2312" w:hAnsi="仿宋_GB2312" w:eastAsia="仿宋_GB2312" w:cs="仿宋_GB2312"/>
          <w:sz w:val="32"/>
          <w:szCs w:val="32"/>
        </w:rPr>
        <w:t>万元，占年度计划的</w:t>
      </w:r>
      <w:r>
        <w:rPr>
          <w:rFonts w:hint="eastAsia" w:ascii="仿宋_GB2312" w:hAnsi="仿宋_GB2312" w:eastAsia="仿宋_GB2312" w:cs="仿宋_GB2312"/>
          <w:sz w:val="32"/>
          <w:szCs w:val="32"/>
          <w:lang w:val="en-US" w:eastAsia="zh-CN"/>
        </w:rPr>
        <w:t>47.97</w:t>
      </w:r>
      <w:r>
        <w:rPr>
          <w:rFonts w:hint="eastAsia"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rPr>
      </w:pPr>
      <w:r>
        <w:rPr>
          <w:rFonts w:hint="eastAsia" w:ascii="黑体" w:hAnsi="黑体" w:eastAsia="黑体" w:cs="Times New Roman"/>
          <w:sz w:val="32"/>
          <w:szCs w:val="32"/>
        </w:rPr>
        <w:t>四、财政拨款收支预算总体情况说明</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2021年一般公共预算收支预算</w:t>
      </w:r>
      <w:r>
        <w:rPr>
          <w:rFonts w:hint="eastAsia" w:ascii="仿宋_GB2312" w:hAnsi="仿宋_GB2312" w:eastAsia="仿宋_GB2312" w:cs="仿宋_GB2312"/>
          <w:sz w:val="32"/>
          <w:szCs w:val="32"/>
          <w:lang w:val="en-US" w:eastAsia="zh-CN"/>
        </w:rPr>
        <w:t>744.19</w:t>
      </w:r>
      <w:r>
        <w:rPr>
          <w:rFonts w:hint="eastAsia" w:ascii="仿宋_GB2312" w:hAnsi="仿宋_GB2312" w:eastAsia="仿宋_GB2312" w:cs="仿宋_GB2312"/>
          <w:sz w:val="32"/>
          <w:szCs w:val="32"/>
        </w:rPr>
        <w:t>万元，政府性基金收支预算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万元，国有资本经营收支预算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万元，与2020年相比，收入支出减少</w:t>
      </w:r>
      <w:r>
        <w:rPr>
          <w:rFonts w:hint="eastAsia" w:ascii="仿宋_GB2312" w:hAnsi="仿宋_GB2312" w:eastAsia="仿宋_GB2312" w:cs="仿宋_GB2312"/>
          <w:sz w:val="32"/>
          <w:szCs w:val="32"/>
          <w:lang w:val="en-US" w:eastAsia="zh-CN"/>
        </w:rPr>
        <w:t>3968.79</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lang w:val="en-US" w:eastAsia="zh-CN"/>
        </w:rPr>
        <w:t>政府减少对医院整体迁建项目投入。</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2021年一般公共预算支出年初预算为</w:t>
      </w:r>
      <w:r>
        <w:rPr>
          <w:rFonts w:hint="eastAsia" w:ascii="仿宋_GB2312" w:hAnsi="仿宋_GB2312" w:eastAsia="仿宋_GB2312" w:cs="仿宋_GB2312"/>
          <w:sz w:val="32"/>
          <w:szCs w:val="32"/>
          <w:lang w:val="en-US" w:eastAsia="zh-CN"/>
        </w:rPr>
        <w:t>744.19</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387.19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52.03</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357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47.97</w:t>
      </w:r>
      <w:r>
        <w:rPr>
          <w:rFonts w:hint="eastAsia" w:ascii="仿宋_GB2312" w:hAnsi="仿宋_GB2312" w:eastAsia="仿宋_GB2312" w:cs="仿宋_GB2312"/>
          <w:sz w:val="32"/>
          <w:szCs w:val="32"/>
        </w:rPr>
        <w:t>%。</w:t>
      </w:r>
    </w:p>
    <w:p>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lang w:eastAsia="zh-CN"/>
        </w:rPr>
        <w:t>六、</w:t>
      </w:r>
      <w:r>
        <w:rPr>
          <w:rFonts w:hint="eastAsia" w:ascii="黑体" w:hAnsi="黑体" w:eastAsia="黑体" w:cs="Times New Roman"/>
          <w:sz w:val="32"/>
          <w:szCs w:val="32"/>
        </w:rPr>
        <w:t>一般公共预算基本支出预算情况说明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2021年一般公共预算基本支出年初预算为</w:t>
      </w:r>
      <w:r>
        <w:rPr>
          <w:rFonts w:hint="eastAsia" w:ascii="仿宋_GB2312" w:hAnsi="仿宋_GB2312" w:eastAsia="仿宋_GB2312" w:cs="仿宋_GB2312"/>
          <w:sz w:val="32"/>
          <w:szCs w:val="32"/>
          <w:lang w:val="en-US" w:eastAsia="zh-CN"/>
        </w:rPr>
        <w:t>387.19</w:t>
      </w:r>
      <w:r>
        <w:rPr>
          <w:rFonts w:hint="eastAsia" w:ascii="仿宋_GB2312" w:hAnsi="仿宋_GB2312" w:eastAsia="仿宋_GB2312" w:cs="仿宋_GB2312"/>
          <w:sz w:val="32"/>
          <w:szCs w:val="32"/>
        </w:rPr>
        <w:t>万元。其中：人员经费支出</w:t>
      </w:r>
      <w:r>
        <w:rPr>
          <w:rFonts w:hint="eastAsia" w:ascii="仿宋_GB2312" w:hAnsi="仿宋_GB2312" w:eastAsia="仿宋_GB2312" w:cs="仿宋_GB2312"/>
          <w:sz w:val="32"/>
          <w:szCs w:val="32"/>
          <w:lang w:val="en-US" w:eastAsia="zh-CN"/>
        </w:rPr>
        <w:t>379.84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98.10</w:t>
      </w:r>
      <w:r>
        <w:rPr>
          <w:rFonts w:hint="eastAsia" w:ascii="仿宋_GB2312" w:hAnsi="仿宋_GB2312" w:eastAsia="仿宋_GB2312" w:cs="仿宋_GB2312"/>
          <w:sz w:val="32"/>
          <w:szCs w:val="32"/>
        </w:rPr>
        <w:t xml:space="preserve"> %；公用经费支出</w:t>
      </w:r>
      <w:r>
        <w:rPr>
          <w:rFonts w:hint="eastAsia" w:ascii="仿宋_GB2312" w:hAnsi="仿宋_GB2312" w:eastAsia="仿宋_GB2312" w:cs="仿宋_GB2312"/>
          <w:sz w:val="32"/>
          <w:szCs w:val="32"/>
          <w:lang w:val="en-US" w:eastAsia="zh-CN"/>
        </w:rPr>
        <w:t>7.35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1.90</w:t>
      </w:r>
      <w:r>
        <w:rPr>
          <w:rFonts w:hint="eastAsia" w:ascii="仿宋_GB2312" w:hAnsi="仿宋_GB2312" w:eastAsia="仿宋_GB2312" w:cs="仿宋_GB2312"/>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八、一般公共预算“三公”经费支出预算情况说明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2021年“三公”经费预算为</w:t>
      </w:r>
      <w:r>
        <w:rPr>
          <w:rFonts w:hint="eastAsia" w:ascii="仿宋_GB2312" w:hAnsi="仿宋_GB2312" w:eastAsia="仿宋_GB2312" w:cs="仿宋_GB2312"/>
          <w:sz w:val="32"/>
          <w:szCs w:val="32"/>
          <w:lang w:val="en-US" w:eastAsia="zh-CN"/>
        </w:rPr>
        <w:t>3.25</w:t>
      </w:r>
      <w:r>
        <w:rPr>
          <w:rFonts w:hint="eastAsia" w:ascii="仿宋_GB2312" w:hAnsi="仿宋_GB2312" w:eastAsia="仿宋_GB2312" w:cs="仿宋_GB2312"/>
          <w:sz w:val="32"/>
          <w:szCs w:val="32"/>
        </w:rPr>
        <w:t>万元。比2020年减少</w:t>
      </w:r>
      <w:r>
        <w:rPr>
          <w:rFonts w:hint="eastAsia" w:ascii="仿宋_GB2312" w:hAnsi="仿宋_GB2312" w:eastAsia="仿宋_GB2312" w:cs="仿宋_GB2312"/>
          <w:sz w:val="32"/>
          <w:szCs w:val="32"/>
          <w:lang w:val="en-US" w:eastAsia="zh-CN"/>
        </w:rPr>
        <w:t>2.73</w:t>
      </w:r>
      <w:r>
        <w:rPr>
          <w:rFonts w:hint="eastAsia" w:ascii="仿宋_GB2312" w:hAnsi="仿宋_GB2312" w:eastAsia="仿宋_GB2312" w:cs="仿宋_GB2312"/>
          <w:sz w:val="32"/>
          <w:szCs w:val="32"/>
        </w:rPr>
        <w:t>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仿宋_GB2312" w:hAnsi="仿宋_GB2312" w:eastAsia="仿宋_GB2312" w:cs="仿宋_GB2312"/>
          <w:sz w:val="32"/>
          <w:szCs w:val="32"/>
        </w:rPr>
        <w:t>主要用于单位工作人员公务出国（境）的住宿费、差旅费、伙食补助费、杂费、培训费等支出。预算数比 2020年保持一致。</w:t>
      </w:r>
    </w:p>
    <w:p>
      <w:pPr>
        <w:ind w:firstLine="643" w:firstLineChars="200"/>
        <w:rPr>
          <w:rFonts w:hint="eastAsia" w:ascii="仿宋_GB2312" w:hAnsi="仿宋_GB2312" w:eastAsia="仿宋_GB2312" w:cs="仿宋_GB2312"/>
          <w:sz w:val="32"/>
          <w:szCs w:val="32"/>
        </w:rPr>
      </w:pPr>
      <w:r>
        <w:rPr>
          <w:rFonts w:hint="eastAsia" w:ascii="仿宋_GB2312" w:eastAsia="仿宋_GB2312"/>
          <w:b/>
          <w:bCs/>
          <w:sz w:val="32"/>
          <w:szCs w:val="32"/>
        </w:rPr>
        <w:t>公务用车购置费及维护费</w:t>
      </w:r>
      <w:r>
        <w:rPr>
          <w:rFonts w:hint="eastAsia" w:ascii="仿宋_GB2312" w:eastAsia="仿宋_GB2312"/>
          <w:b/>
          <w:bCs/>
          <w:sz w:val="32"/>
          <w:szCs w:val="32"/>
          <w:lang w:val="en-US" w:eastAsia="zh-CN"/>
        </w:rPr>
        <w:t>1.60</w:t>
      </w:r>
      <w:r>
        <w:rPr>
          <w:rFonts w:hint="eastAsia" w:ascii="仿宋_GB2312" w:eastAsia="仿宋_GB2312"/>
          <w:b/>
          <w:bCs/>
          <w:sz w:val="32"/>
          <w:szCs w:val="32"/>
        </w:rPr>
        <w:t>万元</w:t>
      </w:r>
      <w:r>
        <w:rPr>
          <w:rFonts w:hint="eastAsia" w:ascii="仿宋_GB2312" w:eastAsia="仿宋_GB2312"/>
          <w:sz w:val="32"/>
          <w:szCs w:val="32"/>
        </w:rPr>
        <w:t>，</w:t>
      </w:r>
      <w:r>
        <w:rPr>
          <w:rFonts w:hint="eastAsia" w:ascii="仿宋_GB2312" w:hAnsi="仿宋_GB2312" w:eastAsia="仿宋_GB2312" w:cs="仿宋_GB2312"/>
          <w:sz w:val="32"/>
          <w:szCs w:val="32"/>
        </w:rPr>
        <w:t>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万元；公务用车维护费</w:t>
      </w:r>
      <w:r>
        <w:rPr>
          <w:rFonts w:hint="eastAsia" w:ascii="仿宋_GB2312" w:hAnsi="仿宋_GB2312" w:eastAsia="仿宋_GB2312" w:cs="仿宋_GB2312"/>
          <w:sz w:val="32"/>
          <w:szCs w:val="32"/>
          <w:lang w:val="en-US" w:eastAsia="zh-CN"/>
        </w:rPr>
        <w:t>1.65</w:t>
      </w:r>
      <w:r>
        <w:rPr>
          <w:rFonts w:hint="eastAsia" w:ascii="仿宋_GB2312" w:hAnsi="仿宋_GB2312" w:eastAsia="仿宋_GB2312" w:cs="仿宋_GB2312"/>
          <w:sz w:val="32"/>
          <w:szCs w:val="32"/>
        </w:rPr>
        <w:t>万元。主要用于开展工作所需公务用车的燃料费、维修费、过路过桥费、保险费等支出。公务用车购置费预算数与2020年持平，均为0万元。公务用车运行维护费预算数比202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年减少</w:t>
      </w:r>
      <w:r>
        <w:rPr>
          <w:rFonts w:hint="eastAsia" w:ascii="仿宋_GB2312" w:hAnsi="仿宋_GB2312" w:eastAsia="仿宋_GB2312" w:cs="仿宋_GB2312"/>
          <w:sz w:val="32"/>
          <w:szCs w:val="32"/>
          <w:lang w:val="en-US" w:eastAsia="zh-CN"/>
        </w:rPr>
        <w:t>0.96</w:t>
      </w:r>
      <w:r>
        <w:rPr>
          <w:rFonts w:hint="eastAsia" w:ascii="仿宋_GB2312" w:hAnsi="仿宋_GB2312" w:eastAsia="仿宋_GB2312" w:cs="仿宋_GB2312"/>
          <w:sz w:val="32"/>
          <w:szCs w:val="32"/>
        </w:rPr>
        <w:t>万元。主要原因：厉行勤俭节约，压减公务用车运行维护费。</w:t>
      </w:r>
    </w:p>
    <w:p>
      <w:pPr>
        <w:ind w:firstLine="643" w:firstLineChars="200"/>
        <w:rPr>
          <w:rFonts w:hint="eastAsia" w:ascii="仿宋_GB2312" w:hAnsi="仿宋_GB2312" w:eastAsia="仿宋_GB2312" w:cs="仿宋_GB2312"/>
          <w:sz w:val="32"/>
          <w:szCs w:val="32"/>
        </w:rPr>
      </w:pPr>
      <w:r>
        <w:rPr>
          <w:rFonts w:hint="eastAsia" w:ascii="仿宋_GB2312" w:eastAsia="仿宋_GB2312"/>
          <w:b/>
          <w:bCs/>
          <w:sz w:val="32"/>
          <w:szCs w:val="32"/>
        </w:rPr>
        <w:t>公务接待费</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rPr>
        <w:t>1</w:t>
      </w:r>
      <w:r>
        <w:rPr>
          <w:rFonts w:hint="eastAsia" w:ascii="仿宋_GB2312" w:eastAsia="仿宋_GB2312"/>
          <w:b/>
          <w:bCs/>
          <w:sz w:val="32"/>
          <w:szCs w:val="32"/>
          <w:lang w:val="en-US" w:eastAsia="zh-CN"/>
        </w:rPr>
        <w:t>.65万元。</w:t>
      </w:r>
      <w:r>
        <w:rPr>
          <w:rFonts w:hint="eastAsia" w:ascii="仿宋_GB2312" w:hAnsi="仿宋_GB2312" w:eastAsia="仿宋_GB2312" w:cs="仿宋_GB2312"/>
          <w:sz w:val="32"/>
          <w:szCs w:val="32"/>
        </w:rPr>
        <w:t>主要用于按规定开支的各类公务接待支出。预算数比 2020年减少</w:t>
      </w:r>
      <w:r>
        <w:rPr>
          <w:rFonts w:hint="eastAsia" w:ascii="仿宋_GB2312" w:hAnsi="仿宋_GB2312" w:eastAsia="仿宋_GB2312" w:cs="仿宋_GB2312"/>
          <w:sz w:val="32"/>
          <w:szCs w:val="32"/>
          <w:lang w:val="en-US" w:eastAsia="zh-CN"/>
        </w:rPr>
        <w:t>1.77</w:t>
      </w:r>
      <w:r>
        <w:rPr>
          <w:rFonts w:hint="eastAsia" w:ascii="仿宋_GB2312" w:hAnsi="仿宋_GB2312" w:eastAsia="仿宋_GB2312" w:cs="仿宋_GB2312"/>
          <w:sz w:val="32"/>
          <w:szCs w:val="32"/>
        </w:rPr>
        <w:t>万元。主要原因：按照中央八项规定，减少公务接待开支。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Times New Roman" w:hAnsi="Times New Roman" w:eastAsia="仿宋_GB2312" w:cs="Times New Roman"/>
          <w:sz w:val="32"/>
          <w:szCs w:val="32"/>
          <w:lang w:eastAsia="zh-CN"/>
        </w:rPr>
        <w:t>我单位不是行政机关，也不是参照公务员管理事业单位，没有机关运行经费支出。</w:t>
      </w:r>
    </w:p>
    <w:p>
      <w:pPr>
        <w:ind w:firstLine="709"/>
        <w:rPr>
          <w:rFonts w:ascii="仿宋_GB2312" w:eastAsia="仿宋_GB2312"/>
          <w:b/>
          <w:sz w:val="32"/>
          <w:szCs w:val="32"/>
        </w:rPr>
      </w:pPr>
      <w:bookmarkStart w:id="0" w:name="_GoBack"/>
      <w:bookmarkEnd w:id="0"/>
      <w:r>
        <w:rPr>
          <w:rFonts w:hint="eastAsia" w:ascii="仿宋_GB2312" w:eastAsia="仿宋_GB2312"/>
          <w:b/>
          <w:sz w:val="32"/>
          <w:szCs w:val="32"/>
        </w:rPr>
        <w:t>（二）政府采购支出情况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2021年，我单位拟组织对</w:t>
      </w:r>
      <w:r>
        <w:rPr>
          <w:rFonts w:hint="eastAsia" w:ascii="仿宋_GB2312" w:hAnsi="仿宋_GB2312" w:eastAsia="仿宋_GB2312" w:cs="仿宋_GB2312"/>
          <w:sz w:val="32"/>
          <w:szCs w:val="32"/>
          <w:lang w:val="en-US" w:eastAsia="zh-CN"/>
        </w:rPr>
        <w:t>结核病防治项目、精神障碍患者管理与治疗项目</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个项目进行预算绩效评价，涉及资金</w:t>
      </w:r>
      <w:r>
        <w:rPr>
          <w:rFonts w:hint="eastAsia" w:ascii="仿宋_GB2312" w:hAnsi="仿宋_GB2312" w:eastAsia="仿宋_GB2312" w:cs="仿宋_GB2312"/>
          <w:sz w:val="32"/>
          <w:szCs w:val="32"/>
          <w:lang w:val="en-US" w:eastAsia="zh-CN"/>
        </w:rPr>
        <w:t>249.5</w:t>
      </w:r>
      <w:r>
        <w:rPr>
          <w:rFonts w:hint="eastAsia" w:ascii="仿宋_GB2312" w:hAnsi="仿宋_GB2312" w:eastAsia="仿宋_GB2312" w:cs="仿宋_GB2312"/>
          <w:sz w:val="32"/>
          <w:szCs w:val="32"/>
        </w:rPr>
        <w:t>万元。</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2020年期末，我单位共有车辆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辆，其中：一般公务用车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辆、一般执法执勤车辆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辆，其他用车主要是离退休干部用车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辆。单价50万元以上通用设备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套，单位价值100万元以上专用设备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640" w:firstLineChars="200"/>
        <w:rPr>
          <w:rFonts w:ascii="仿宋_GB2312" w:eastAsia="仿宋_GB2312"/>
          <w:color w:val="FF0000"/>
          <w:sz w:val="32"/>
          <w:szCs w:val="32"/>
        </w:rPr>
      </w:pPr>
      <w:r>
        <w:rPr>
          <w:rFonts w:hint="eastAsia" w:ascii="仿宋_GB2312" w:hAnsi="仿宋_GB2312" w:eastAsia="仿宋_GB2312" w:cs="仿宋_GB2312"/>
          <w:sz w:val="32"/>
          <w:szCs w:val="32"/>
        </w:rPr>
        <w:t>我单位负责的专项转移支付项目共有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项，主要是：</w:t>
      </w:r>
      <w:r>
        <w:rPr>
          <w:rFonts w:hint="eastAsia" w:ascii="仿宋_GB2312" w:hAnsi="仿宋_GB2312" w:eastAsia="仿宋_GB2312" w:cs="仿宋_GB2312"/>
          <w:sz w:val="32"/>
          <w:szCs w:val="32"/>
          <w:lang w:val="en-US" w:eastAsia="zh-CN"/>
        </w:rPr>
        <w:t>重大传染病防控（结核病防治）</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24.00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重大公共卫生服务（精神障碍患者管理与治疗）项目83.50万元</w:t>
      </w:r>
      <w:r>
        <w:rPr>
          <w:rFonts w:hint="eastAsia" w:ascii="仿宋_GB2312" w:hAnsi="仿宋_GB2312" w:eastAsia="仿宋_GB2312" w:cs="仿宋_GB2312"/>
          <w:sz w:val="32"/>
          <w:szCs w:val="32"/>
        </w:rPr>
        <w:t>。</w:t>
      </w:r>
    </w:p>
    <w:p>
      <w:pPr>
        <w:ind w:firstLine="709"/>
        <w:jc w:val="center"/>
        <w:rPr>
          <w:rFonts w:ascii="黑体" w:hAnsi="宋体" w:eastAsia="黑体"/>
          <w:sz w:val="32"/>
          <w:szCs w:val="32"/>
        </w:rPr>
      </w:pPr>
      <w:r>
        <w:rPr>
          <w:rFonts w:hint="eastAsia" w:ascii="黑体" w:hAnsi="宋体" w:eastAsia="黑体"/>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hAnsi="宋体" w:eastAsia="仿宋_GB2312"/>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rPr>
          <w:rFonts w:hint="eastAsia" w:ascii="仿宋_GB2312" w:hAnsi="宋体" w:eastAsia="仿宋_GB2312"/>
          <w:sz w:val="32"/>
          <w:szCs w:val="32"/>
          <w:lang w:eastAsia="zh-CN"/>
        </w:rPr>
      </w:pPr>
      <w:r>
        <w:rPr>
          <w:rFonts w:hint="eastAsia" w:ascii="仿宋_GB2312" w:hAnsi="宋体" w:eastAsia="仿宋_GB2312" w:cs="黑体"/>
          <w:kern w:val="2"/>
          <w:sz w:val="32"/>
          <w:szCs w:val="32"/>
          <w:lang w:val="en-US" w:eastAsia="zh-CN" w:bidi="ar-SA"/>
        </w:rPr>
        <w:object>
          <v:shape id="_x0000_i1025" o:spt="75" type="#_x0000_t75" style="height:65.25pt;width:72pt;" o:ole="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o:OLEObject Type="Embed" ProgID="Excel.Sheet.8" ShapeID="_x0000_i1025" DrawAspect="Icon" ObjectID="_1468075725" r:id="rId5">
            <o:LockedField>false</o:LockedField>
          </o:OLEObject>
        </w:objec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C/457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y6vTpqH4cMxEonMLU0YYafBdE9Z3bRTaRGe57nr6T/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gL/jnsMBAACPAwAADgAAAAAAAAABACAAAAAfAQAAZHJzL2Uyb0RvYy54bWxQ&#10;SwUGAAAAAAYABgBZAQAAVAU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C40501"/>
    <w:rsid w:val="2031213D"/>
    <w:rsid w:val="361E51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List Paragraph"/>
    <w:basedOn w:val="1"/>
    <w:qFormat/>
    <w:uiPriority w:val="34"/>
    <w:pPr>
      <w:ind w:firstLine="420"/>
    </w:pPr>
  </w:style>
  <w:style w:type="paragraph" w:customStyle="1" w:styleId="9">
    <w:name w:val="规范正文"/>
    <w:basedOn w:val="1"/>
    <w:qFormat/>
    <w:uiPriority w:val="0"/>
    <w:pPr>
      <w:widowControl w:val="0"/>
      <w:spacing w:line="360" w:lineRule="auto"/>
      <w:ind w:firstLine="560" w:firstLineChars="200"/>
      <w:jc w:val="both"/>
    </w:pPr>
    <w:rPr>
      <w:rFonts w:ascii="Times New Roman" w:hAnsi="Times New Roman" w:eastAsia="仿宋_GB2312" w:cs="Times New Roman"/>
      <w:sz w:val="28"/>
      <w:szCs w:val="28"/>
    </w:rPr>
  </w:style>
  <w:style w:type="character" w:customStyle="1" w:styleId="10">
    <w:name w:val="页眉 Char Char"/>
    <w:basedOn w:val="7"/>
    <w:link w:val="4"/>
    <w:qFormat/>
    <w:uiPriority w:val="99"/>
    <w:rPr>
      <w:sz w:val="18"/>
      <w:szCs w:val="18"/>
    </w:rPr>
  </w:style>
  <w:style w:type="character" w:customStyle="1" w:styleId="11">
    <w:name w:val="页脚 Char Char"/>
    <w:basedOn w:val="7"/>
    <w:link w:val="3"/>
    <w:qFormat/>
    <w:uiPriority w:val="99"/>
    <w:rPr>
      <w:sz w:val="18"/>
      <w:szCs w:val="18"/>
    </w:rPr>
  </w:style>
  <w:style w:type="character" w:customStyle="1" w:styleId="12">
    <w:name w:val="批注框文本 Char Char"/>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3025</Words>
  <Characters>3247</Characters>
  <Lines>21</Lines>
  <Paragraphs>6</Paragraphs>
  <TotalTime>0</TotalTime>
  <ScaleCrop>false</ScaleCrop>
  <LinksUpToDate>false</LinksUpToDate>
  <CharactersWithSpaces>0</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琳琳小不点儿</cp:lastModifiedBy>
  <cp:lastPrinted>2022-05-18T02:02:00Z</cp:lastPrinted>
  <dcterms:modified xsi:type="dcterms:W3CDTF">2022-09-02T01:59:14Z</dcterms:modified>
  <dc:title>邓州市结核病防治所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5E8BD4E7340E4AC9B8845AAF0810071D</vt:lpwstr>
  </property>
</Properties>
</file>