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w w:val="90"/>
          <w:sz w:val="44"/>
          <w:szCs w:val="32"/>
        </w:rPr>
      </w:pPr>
      <w:r>
        <w:rPr>
          <w:rFonts w:hint="eastAsia" w:ascii="方正小标宋简体" w:hAnsi="黑体" w:eastAsia="方正小标宋简体"/>
          <w:w w:val="90"/>
          <w:sz w:val="44"/>
          <w:szCs w:val="32"/>
          <w:lang w:val="en-US" w:eastAsia="zh-CN"/>
        </w:rPr>
        <w:t>邓州市</w:t>
      </w:r>
      <w:r>
        <w:rPr>
          <w:rFonts w:hint="eastAsia" w:ascii="方正小标宋简体" w:hAnsi="黑体" w:eastAsia="方正小标宋简体"/>
          <w:w w:val="90"/>
          <w:sz w:val="44"/>
          <w:szCs w:val="32"/>
          <w:lang w:eastAsia="zh-CN"/>
        </w:rPr>
        <w:t>20</w:t>
      </w:r>
      <w:r>
        <w:rPr>
          <w:rFonts w:hint="eastAsia" w:ascii="方正小标宋简体" w:hAnsi="黑体" w:eastAsia="方正小标宋简体"/>
          <w:w w:val="90"/>
          <w:sz w:val="44"/>
          <w:szCs w:val="32"/>
          <w:lang w:val="en-US" w:eastAsia="zh-CN"/>
        </w:rPr>
        <w:t>21</w:t>
      </w:r>
      <w:r>
        <w:rPr>
          <w:rFonts w:hint="eastAsia" w:ascii="方正小标宋简体" w:hAnsi="黑体" w:eastAsia="方正小标宋简体"/>
          <w:w w:val="90"/>
          <w:sz w:val="44"/>
          <w:szCs w:val="32"/>
        </w:rPr>
        <w:t>年</w:t>
      </w:r>
      <w:r>
        <w:rPr>
          <w:rFonts w:hint="eastAsia" w:ascii="方正小标宋简体" w:hAnsi="黑体" w:eastAsia="方正小标宋简体"/>
          <w:w w:val="90"/>
          <w:sz w:val="44"/>
          <w:szCs w:val="32"/>
          <w:lang w:val="en-US" w:eastAsia="zh-CN"/>
        </w:rPr>
        <w:t>中医药管理局单位</w:t>
      </w:r>
      <w:r>
        <w:rPr>
          <w:rFonts w:hint="eastAsia" w:ascii="方正小标宋简体" w:hAnsi="黑体" w:eastAsia="方正小标宋简体"/>
          <w:w w:val="90"/>
          <w:sz w:val="44"/>
          <w:szCs w:val="32"/>
        </w:rPr>
        <w:t>预算</w:t>
      </w:r>
    </w:p>
    <w:p>
      <w:pPr>
        <w:jc w:val="center"/>
        <w:rPr>
          <w:rFonts w:hint="eastAsia" w:ascii="宋体" w:hAnsi="宋体" w:eastAsia="宋体"/>
          <w:b/>
          <w:sz w:val="28"/>
          <w:szCs w:val="32"/>
        </w:rPr>
      </w:pPr>
      <w:r>
        <w:rPr>
          <w:rFonts w:hint="eastAsia" w:ascii="方正小标宋简体" w:hAnsi="黑体" w:eastAsia="方正小标宋简体"/>
          <w:w w:val="90"/>
          <w:sz w:val="44"/>
          <w:szCs w:val="32"/>
        </w:rPr>
        <w:t>基本情况说明</w:t>
      </w:r>
    </w:p>
    <w:p>
      <w:pPr>
        <w:widowControl w:val="0"/>
        <w:wordWrap/>
        <w:spacing w:line="600" w:lineRule="exact"/>
        <w:jc w:val="center"/>
        <w:textAlignment w:val="auto"/>
        <w:rPr>
          <w:rFonts w:hint="eastAsia" w:ascii="黑体" w:hAnsi="宋体" w:eastAsia="黑体"/>
          <w:sz w:val="36"/>
          <w:szCs w:val="32"/>
        </w:rPr>
      </w:pPr>
      <w:r>
        <w:rPr>
          <w:rFonts w:hint="eastAsia" w:ascii="黑体" w:hAnsi="宋体" w:eastAsia="黑体"/>
          <w:sz w:val="36"/>
          <w:szCs w:val="32"/>
        </w:rPr>
        <w:t>目  录</w:t>
      </w:r>
    </w:p>
    <w:p>
      <w:pPr>
        <w:widowControl w:val="0"/>
        <w:wordWrap/>
        <w:spacing w:beforeLines="100" w:line="600" w:lineRule="exact"/>
        <w:jc w:val="left"/>
        <w:textAlignment w:val="auto"/>
        <w:rPr>
          <w:rFonts w:hint="eastAsia" w:ascii="黑体" w:hAnsi="宋体" w:eastAsia="黑体"/>
          <w:sz w:val="32"/>
          <w:szCs w:val="32"/>
        </w:rPr>
      </w:pPr>
      <w:r>
        <w:rPr>
          <w:rFonts w:hint="eastAsia" w:ascii="黑体" w:hAnsi="宋体" w:eastAsia="黑体"/>
          <w:sz w:val="32"/>
          <w:szCs w:val="32"/>
        </w:rPr>
        <w:t>第一部分  邓州市</w:t>
      </w:r>
      <w:r>
        <w:rPr>
          <w:rFonts w:hint="eastAsia" w:ascii="黑体" w:hAnsi="宋体" w:eastAsia="黑体"/>
          <w:sz w:val="32"/>
          <w:szCs w:val="32"/>
          <w:lang w:val="en-US" w:eastAsia="zh-CN"/>
        </w:rPr>
        <w:t>中医药管理局</w:t>
      </w:r>
      <w:r>
        <w:rPr>
          <w:rFonts w:hint="eastAsia" w:ascii="黑体" w:hAnsi="宋体" w:eastAsia="黑体"/>
          <w:sz w:val="32"/>
          <w:szCs w:val="32"/>
        </w:rPr>
        <w:t>概况</w:t>
      </w:r>
    </w:p>
    <w:p>
      <w:pPr>
        <w:pStyle w:val="10"/>
        <w:widowControl w:val="0"/>
        <w:numPr>
          <w:ilvl w:val="0"/>
          <w:numId w:val="0"/>
        </w:numPr>
        <w:wordWrap/>
        <w:spacing w:line="600" w:lineRule="exact"/>
        <w:ind w:leftChars="0"/>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一、</w:t>
      </w:r>
      <w:r>
        <w:rPr>
          <w:rFonts w:hint="eastAsia" w:ascii="仿宋_GB2312" w:hAnsi="宋体" w:eastAsia="仿宋_GB2312"/>
          <w:sz w:val="32"/>
          <w:szCs w:val="32"/>
        </w:rPr>
        <w:t>主要职</w:t>
      </w:r>
      <w:r>
        <w:rPr>
          <w:rFonts w:hint="eastAsia" w:ascii="仿宋_GB2312" w:hAnsi="宋体" w:eastAsia="仿宋_GB2312"/>
          <w:sz w:val="32"/>
          <w:szCs w:val="32"/>
          <w:lang w:eastAsia="zh-CN"/>
        </w:rPr>
        <w:t>责</w:t>
      </w:r>
    </w:p>
    <w:p>
      <w:pPr>
        <w:pStyle w:val="10"/>
        <w:widowControl w:val="0"/>
        <w:numPr>
          <w:ilvl w:val="0"/>
          <w:numId w:val="0"/>
        </w:numPr>
        <w:wordWrap/>
        <w:spacing w:line="600" w:lineRule="exact"/>
        <w:ind w:leftChars="0"/>
        <w:jc w:val="left"/>
        <w:textAlignment w:val="auto"/>
        <w:rPr>
          <w:rFonts w:ascii="仿宋_GB2312" w:hAnsi="宋体" w:eastAsia="仿宋_GB2312"/>
          <w:sz w:val="32"/>
          <w:szCs w:val="32"/>
        </w:rPr>
      </w:pPr>
      <w:r>
        <w:rPr>
          <w:rFonts w:hint="eastAsia" w:ascii="仿宋_GB2312" w:hAnsi="宋体" w:eastAsia="仿宋_GB2312"/>
          <w:sz w:val="32"/>
          <w:szCs w:val="32"/>
          <w:lang w:val="en-US" w:eastAsia="zh-CN"/>
        </w:rPr>
        <w:t>二、机构设置</w:t>
      </w:r>
      <w:r>
        <w:rPr>
          <w:rFonts w:hint="eastAsia" w:ascii="仿宋_GB2312" w:hAnsi="宋体" w:eastAsia="仿宋_GB2312"/>
          <w:sz w:val="32"/>
          <w:szCs w:val="32"/>
          <w:lang w:eastAsia="zh-CN"/>
        </w:rPr>
        <w:t>情况</w:t>
      </w:r>
    </w:p>
    <w:p>
      <w:pPr>
        <w:widowControl w:val="0"/>
        <w:wordWrap/>
        <w:spacing w:line="600" w:lineRule="exact"/>
        <w:jc w:val="left"/>
        <w:textAlignment w:val="auto"/>
        <w:rPr>
          <w:rFonts w:hint="eastAsia" w:ascii="黑体" w:hAnsi="宋体" w:eastAsia="黑体"/>
          <w:sz w:val="32"/>
          <w:szCs w:val="32"/>
        </w:rPr>
      </w:pPr>
      <w:r>
        <w:rPr>
          <w:rFonts w:hint="eastAsia" w:ascii="黑体" w:hAnsi="宋体" w:eastAsia="黑体"/>
          <w:sz w:val="32"/>
          <w:szCs w:val="32"/>
        </w:rPr>
        <w:t>第二部分 邓州市</w:t>
      </w:r>
      <w:r>
        <w:rPr>
          <w:rFonts w:hint="eastAsia" w:ascii="黑体" w:hAnsi="宋体" w:eastAsia="黑体"/>
          <w:sz w:val="32"/>
          <w:szCs w:val="32"/>
          <w:lang w:val="en-US" w:eastAsia="zh-CN"/>
        </w:rPr>
        <w:t>中医药管理局2</w:t>
      </w:r>
      <w:r>
        <w:rPr>
          <w:rFonts w:hint="eastAsia" w:ascii="黑体" w:hAnsi="宋体" w:eastAsia="黑体"/>
          <w:sz w:val="32"/>
          <w:szCs w:val="32"/>
          <w:lang w:eastAsia="zh-CN"/>
        </w:rPr>
        <w:t>0</w:t>
      </w:r>
      <w:r>
        <w:rPr>
          <w:rFonts w:hint="eastAsia" w:ascii="黑体" w:hAnsi="宋体" w:eastAsia="黑体"/>
          <w:sz w:val="32"/>
          <w:szCs w:val="32"/>
          <w:lang w:val="en-US" w:eastAsia="zh-CN"/>
        </w:rPr>
        <w:t>21</w:t>
      </w:r>
      <w:r>
        <w:rPr>
          <w:rFonts w:hint="eastAsia" w:ascii="黑体" w:hAnsi="宋体" w:eastAsia="黑体"/>
          <w:sz w:val="32"/>
          <w:szCs w:val="32"/>
        </w:rPr>
        <w:t>年</w:t>
      </w:r>
      <w:r>
        <w:rPr>
          <w:rFonts w:hint="eastAsia" w:ascii="黑体" w:hAnsi="宋体" w:eastAsia="黑体"/>
          <w:sz w:val="32"/>
          <w:szCs w:val="32"/>
          <w:lang w:val="en-US" w:eastAsia="zh-CN"/>
        </w:rPr>
        <w:t>单位</w:t>
      </w:r>
      <w:r>
        <w:rPr>
          <w:rFonts w:hint="eastAsia" w:ascii="黑体" w:hAnsi="宋体" w:eastAsia="黑体"/>
          <w:sz w:val="32"/>
          <w:szCs w:val="32"/>
        </w:rPr>
        <w:t>预算情况说明</w:t>
      </w:r>
    </w:p>
    <w:p>
      <w:pPr>
        <w:jc w:val="left"/>
        <w:rPr>
          <w:rFonts w:ascii="黑体" w:hAnsi="宋体" w:eastAsia="黑体"/>
          <w:sz w:val="32"/>
          <w:szCs w:val="32"/>
        </w:rPr>
      </w:pPr>
      <w:r>
        <w:rPr>
          <w:rFonts w:hint="eastAsia" w:ascii="黑体" w:hAnsi="宋体" w:eastAsia="黑体"/>
          <w:sz w:val="32"/>
          <w:szCs w:val="32"/>
        </w:rPr>
        <w:t>第三部分 名词解释</w:t>
      </w:r>
    </w:p>
    <w:p>
      <w:pPr>
        <w:rPr>
          <w:rFonts w:ascii="仿宋_GB2312" w:eastAsia="仿宋_GB2312"/>
          <w:b/>
          <w:bCs/>
          <w:sz w:val="32"/>
          <w:szCs w:val="32"/>
        </w:rPr>
      </w:pPr>
      <w:r>
        <w:rPr>
          <w:rFonts w:hint="eastAsia" w:ascii="仿宋_GB2312" w:eastAsia="仿宋_GB2312"/>
          <w:b/>
          <w:bCs/>
          <w:sz w:val="32"/>
          <w:szCs w:val="32"/>
        </w:rPr>
        <w:t>附件：2021年度单位预算表</w:t>
      </w:r>
    </w:p>
    <w:p>
      <w:pPr>
        <w:ind w:firstLine="425" w:firstLineChars="133"/>
        <w:rPr>
          <w:rFonts w:hint="eastAsia" w:ascii="仿宋_GB2312" w:hAnsi="宋体" w:eastAsia="仿宋_GB2312"/>
          <w:sz w:val="32"/>
          <w:szCs w:val="32"/>
        </w:rPr>
      </w:pPr>
      <w:r>
        <w:rPr>
          <w:rFonts w:hint="eastAsia" w:ascii="仿宋_GB2312" w:hAnsi="宋体" w:eastAsia="仿宋_GB2312"/>
          <w:sz w:val="32"/>
          <w:szCs w:val="32"/>
        </w:rPr>
        <w:t>一、单位收支总体情况表</w:t>
      </w:r>
    </w:p>
    <w:p>
      <w:pPr>
        <w:ind w:firstLine="425" w:firstLineChars="133"/>
        <w:rPr>
          <w:rFonts w:hint="eastAsia" w:ascii="仿宋_GB2312" w:hAnsi="宋体" w:eastAsia="仿宋_GB2312"/>
          <w:sz w:val="32"/>
          <w:szCs w:val="32"/>
        </w:rPr>
      </w:pPr>
      <w:r>
        <w:rPr>
          <w:rFonts w:hint="eastAsia" w:ascii="仿宋_GB2312" w:hAnsi="宋体" w:eastAsia="仿宋_GB2312"/>
          <w:sz w:val="32"/>
          <w:szCs w:val="32"/>
        </w:rPr>
        <w:t>二、单位收入总体情况表</w:t>
      </w:r>
    </w:p>
    <w:p>
      <w:pPr>
        <w:ind w:firstLine="425" w:firstLineChars="133"/>
        <w:rPr>
          <w:rFonts w:hint="eastAsia" w:ascii="仿宋_GB2312" w:hAnsi="宋体" w:eastAsia="仿宋_GB2312"/>
          <w:sz w:val="32"/>
          <w:szCs w:val="32"/>
        </w:rPr>
      </w:pPr>
      <w:r>
        <w:rPr>
          <w:rFonts w:hint="eastAsia" w:ascii="仿宋_GB2312" w:hAnsi="宋体" w:eastAsia="仿宋_GB2312"/>
          <w:sz w:val="32"/>
          <w:szCs w:val="32"/>
        </w:rPr>
        <w:t>三、单位支出总体情况表</w:t>
      </w:r>
    </w:p>
    <w:p>
      <w:pPr>
        <w:ind w:firstLine="425" w:firstLineChars="133"/>
        <w:rPr>
          <w:rFonts w:hint="eastAsia" w:ascii="仿宋_GB2312" w:hAnsi="宋体" w:eastAsia="仿宋_GB2312"/>
          <w:sz w:val="32"/>
          <w:szCs w:val="32"/>
        </w:rPr>
      </w:pPr>
      <w:r>
        <w:rPr>
          <w:rFonts w:hint="eastAsia" w:ascii="仿宋_GB2312" w:hAnsi="宋体" w:eastAsia="仿宋_GB2312"/>
          <w:sz w:val="32"/>
          <w:szCs w:val="32"/>
        </w:rPr>
        <w:t>四、财政拨款收支总体情况表</w:t>
      </w:r>
    </w:p>
    <w:p>
      <w:pPr>
        <w:ind w:firstLine="425" w:firstLineChars="133"/>
        <w:rPr>
          <w:rFonts w:hint="eastAsia" w:ascii="仿宋_GB2312" w:hAnsi="宋体" w:eastAsia="仿宋_GB2312"/>
          <w:sz w:val="32"/>
          <w:szCs w:val="32"/>
        </w:rPr>
      </w:pPr>
      <w:r>
        <w:rPr>
          <w:rFonts w:hint="eastAsia" w:ascii="仿宋_GB2312" w:hAnsi="宋体" w:eastAsia="仿宋_GB2312"/>
          <w:sz w:val="32"/>
          <w:szCs w:val="32"/>
        </w:rPr>
        <w:t>五、一般公共预算支出情况表</w:t>
      </w:r>
    </w:p>
    <w:p>
      <w:pPr>
        <w:ind w:firstLine="425" w:firstLineChars="133"/>
        <w:rPr>
          <w:rFonts w:hint="eastAsia" w:ascii="仿宋_GB2312" w:hAnsi="宋体" w:eastAsia="仿宋_GB2312"/>
          <w:sz w:val="32"/>
          <w:szCs w:val="32"/>
        </w:rPr>
      </w:pPr>
      <w:r>
        <w:rPr>
          <w:rFonts w:hint="eastAsia" w:ascii="仿宋_GB2312" w:hAnsi="宋体" w:eastAsia="仿宋_GB2312"/>
          <w:sz w:val="32"/>
          <w:szCs w:val="32"/>
        </w:rPr>
        <w:t>六、一般公共预算基本支出情况表</w:t>
      </w:r>
    </w:p>
    <w:p>
      <w:pPr>
        <w:ind w:firstLine="425" w:firstLineChars="133"/>
        <w:rPr>
          <w:rFonts w:hint="eastAsia" w:ascii="仿宋_GB2312" w:hAnsi="宋体" w:eastAsia="仿宋_GB2312"/>
          <w:sz w:val="32"/>
          <w:szCs w:val="32"/>
        </w:rPr>
      </w:pPr>
      <w:r>
        <w:rPr>
          <w:rFonts w:hint="eastAsia" w:ascii="仿宋_GB2312" w:hAnsi="宋体" w:eastAsia="仿宋_GB2312"/>
          <w:sz w:val="32"/>
          <w:szCs w:val="32"/>
        </w:rPr>
        <w:t>七、一般公共预算“三公”经费支出情况表</w:t>
      </w:r>
    </w:p>
    <w:p>
      <w:pPr>
        <w:ind w:firstLine="425" w:firstLineChars="133"/>
        <w:rPr>
          <w:rFonts w:hint="eastAsia" w:ascii="仿宋_GB2312" w:hAnsi="宋体" w:eastAsia="仿宋_GB2312"/>
          <w:sz w:val="32"/>
          <w:szCs w:val="32"/>
        </w:rPr>
      </w:pPr>
      <w:r>
        <w:rPr>
          <w:rFonts w:hint="eastAsia" w:ascii="仿宋_GB2312" w:hAnsi="宋体" w:eastAsia="仿宋_GB2312"/>
          <w:sz w:val="32"/>
          <w:szCs w:val="32"/>
        </w:rPr>
        <w:t>八、政府性基金预算支出情况表</w:t>
      </w:r>
    </w:p>
    <w:p>
      <w:pPr>
        <w:ind w:firstLine="425" w:firstLineChars="133"/>
        <w:rPr>
          <w:rFonts w:hint="eastAsia" w:ascii="仿宋_GB2312" w:hAnsi="宋体" w:eastAsia="仿宋_GB2312"/>
          <w:sz w:val="32"/>
          <w:szCs w:val="32"/>
        </w:rPr>
      </w:pPr>
      <w:r>
        <w:rPr>
          <w:rFonts w:hint="eastAsia" w:ascii="仿宋_GB2312" w:hAnsi="宋体" w:eastAsia="仿宋_GB2312"/>
          <w:sz w:val="32"/>
          <w:szCs w:val="32"/>
        </w:rPr>
        <w:t>九、支出经济分类汇总表</w:t>
      </w:r>
    </w:p>
    <w:p>
      <w:pPr>
        <w:widowControl w:val="0"/>
        <w:wordWrap/>
        <w:spacing w:line="600" w:lineRule="exact"/>
        <w:jc w:val="center"/>
        <w:textAlignment w:val="auto"/>
        <w:rPr>
          <w:rFonts w:hint="eastAsia" w:ascii="黑体" w:hAnsi="宋体" w:eastAsia="黑体"/>
          <w:sz w:val="32"/>
          <w:szCs w:val="32"/>
        </w:rPr>
      </w:pPr>
    </w:p>
    <w:p>
      <w:pPr>
        <w:pStyle w:val="2"/>
        <w:rPr>
          <w:rFonts w:hint="eastAsia" w:ascii="黑体" w:hAnsi="宋体" w:eastAsia="黑体"/>
          <w:sz w:val="32"/>
          <w:szCs w:val="32"/>
        </w:rPr>
      </w:pPr>
    </w:p>
    <w:p>
      <w:pPr>
        <w:pStyle w:val="2"/>
        <w:rPr>
          <w:rFonts w:hint="eastAsia" w:ascii="黑体" w:hAnsi="宋体" w:eastAsia="黑体"/>
          <w:sz w:val="32"/>
          <w:szCs w:val="32"/>
        </w:rPr>
      </w:pPr>
    </w:p>
    <w:p>
      <w:pPr>
        <w:widowControl w:val="0"/>
        <w:wordWrap/>
        <w:spacing w:line="600" w:lineRule="exact"/>
        <w:jc w:val="center"/>
        <w:textAlignment w:val="auto"/>
        <w:rPr>
          <w:rFonts w:hint="eastAsia" w:ascii="黑体" w:hAnsi="宋体" w:eastAsia="黑体"/>
          <w:sz w:val="32"/>
          <w:szCs w:val="32"/>
        </w:rPr>
      </w:pPr>
    </w:p>
    <w:p>
      <w:pPr>
        <w:widowControl w:val="0"/>
        <w:wordWrap/>
        <w:spacing w:line="600" w:lineRule="exact"/>
        <w:jc w:val="center"/>
        <w:textAlignment w:val="auto"/>
        <w:rPr>
          <w:rFonts w:hint="eastAsia" w:ascii="黑体" w:hAnsi="宋体" w:eastAsia="黑体"/>
          <w:sz w:val="32"/>
          <w:szCs w:val="32"/>
        </w:rPr>
      </w:pPr>
      <w:r>
        <w:rPr>
          <w:rFonts w:hint="eastAsia" w:ascii="黑体" w:hAnsi="宋体" w:eastAsia="黑体"/>
          <w:sz w:val="32"/>
          <w:szCs w:val="32"/>
        </w:rPr>
        <w:t>第一部分</w:t>
      </w:r>
    </w:p>
    <w:p>
      <w:pPr>
        <w:widowControl w:val="0"/>
        <w:wordWrap/>
        <w:spacing w:line="600" w:lineRule="exact"/>
        <w:jc w:val="center"/>
        <w:textAlignment w:val="auto"/>
        <w:rPr>
          <w:rFonts w:hint="eastAsia" w:ascii="仿宋_GB2312" w:eastAsia="仿宋_GB2312"/>
          <w:b/>
          <w:sz w:val="32"/>
          <w:szCs w:val="32"/>
        </w:rPr>
      </w:pPr>
      <w:r>
        <w:rPr>
          <w:rFonts w:hint="eastAsia" w:ascii="黑体" w:hAnsi="宋体" w:eastAsia="黑体"/>
          <w:sz w:val="32"/>
          <w:szCs w:val="32"/>
        </w:rPr>
        <w:t>邓州市</w:t>
      </w:r>
      <w:r>
        <w:rPr>
          <w:rFonts w:hint="eastAsia" w:ascii="黑体" w:hAnsi="宋体" w:eastAsia="黑体"/>
          <w:sz w:val="32"/>
          <w:szCs w:val="32"/>
          <w:lang w:val="en-US" w:eastAsia="zh-CN"/>
        </w:rPr>
        <w:t>中医药管理局</w:t>
      </w:r>
      <w:r>
        <w:rPr>
          <w:rFonts w:hint="eastAsia" w:ascii="黑体" w:hAnsi="宋体" w:eastAsia="黑体"/>
          <w:sz w:val="32"/>
          <w:szCs w:val="32"/>
        </w:rPr>
        <w:t>概况</w:t>
      </w:r>
    </w:p>
    <w:p>
      <w:pPr>
        <w:widowControl w:val="0"/>
        <w:numPr>
          <w:ilvl w:val="0"/>
          <w:numId w:val="1"/>
        </w:numPr>
        <w:wordWrap/>
        <w:spacing w:line="600" w:lineRule="exact"/>
        <w:ind w:firstLine="640" w:firstLineChars="200"/>
        <w:textAlignment w:val="auto"/>
        <w:rPr>
          <w:rFonts w:hint="eastAsia" w:ascii="黑体" w:eastAsia="黑体"/>
          <w:sz w:val="32"/>
          <w:szCs w:val="32"/>
        </w:rPr>
      </w:pPr>
      <w:r>
        <w:rPr>
          <w:rFonts w:hint="eastAsia" w:ascii="黑体" w:eastAsia="黑体"/>
          <w:sz w:val="32"/>
          <w:szCs w:val="32"/>
        </w:rPr>
        <w:t>主要职责</w:t>
      </w:r>
    </w:p>
    <w:p>
      <w:pPr>
        <w:widowControl w:val="0"/>
        <w:numPr>
          <w:ilvl w:val="0"/>
          <w:numId w:val="0"/>
        </w:numPr>
        <w:wordWrap/>
        <w:spacing w:line="6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(一)拟订全市中医药事业的发展战略、规划、政策，参与上级重大中医药项目的规划和组织实施。</w:t>
      </w:r>
    </w:p>
    <w:p>
      <w:pPr>
        <w:widowControl w:val="0"/>
        <w:numPr>
          <w:ilvl w:val="0"/>
          <w:numId w:val="0"/>
        </w:numPr>
        <w:wordWrap/>
        <w:spacing w:line="6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(二)承担辖区内中医医疗、预防、保健、康复及临床用药等服务及监督管理责任。规划、指导和协调中医医疗、科研机构的结构布局及其运行机制的改革。</w:t>
      </w:r>
    </w:p>
    <w:p>
      <w:pPr>
        <w:widowControl w:val="0"/>
        <w:numPr>
          <w:ilvl w:val="0"/>
          <w:numId w:val="0"/>
        </w:numPr>
        <w:wordWrap/>
        <w:spacing w:line="6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组织拟订辖区内中医药人才发展规划，会同有关部门拟订中医药专业技术人员资格标准并组织实施。会同有关部门组织开展中医药师承教育、毕业后教育、继续教育和相关人才培训工作，参与指导中医药教育教学改革。</w:t>
      </w:r>
    </w:p>
    <w:p>
      <w:pPr>
        <w:widowControl w:val="0"/>
        <w:numPr>
          <w:ilvl w:val="0"/>
          <w:numId w:val="0"/>
        </w:numPr>
        <w:wordWrap/>
        <w:spacing w:line="6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(四)承办市委政府及卫健委交办的其他事项。</w:t>
      </w:r>
    </w:p>
    <w:p>
      <w:pPr>
        <w:widowControl w:val="0"/>
        <w:wordWrap/>
        <w:spacing w:line="600" w:lineRule="exact"/>
        <w:ind w:firstLine="640" w:firstLineChars="200"/>
        <w:textAlignment w:val="auto"/>
        <w:rPr>
          <w:rFonts w:hint="eastAsia" w:ascii="黑体" w:eastAsia="黑体"/>
          <w:sz w:val="32"/>
          <w:szCs w:val="32"/>
          <w:lang w:eastAsia="zh-CN"/>
        </w:rPr>
      </w:pPr>
      <w:r>
        <w:rPr>
          <w:rFonts w:hint="eastAsia" w:ascii="黑体" w:eastAsia="黑体"/>
          <w:sz w:val="32"/>
          <w:szCs w:val="32"/>
          <w:lang w:eastAsia="zh-CN"/>
        </w:rPr>
        <w:t>二</w:t>
      </w:r>
      <w:r>
        <w:rPr>
          <w:rFonts w:hint="eastAsia" w:ascii="黑体" w:eastAsia="黑体"/>
          <w:sz w:val="32"/>
          <w:szCs w:val="32"/>
        </w:rPr>
        <w:t>、单位</w:t>
      </w:r>
      <w:r>
        <w:rPr>
          <w:rFonts w:hint="eastAsia" w:ascii="黑体" w:eastAsia="黑体"/>
          <w:sz w:val="32"/>
          <w:szCs w:val="32"/>
          <w:lang w:val="en-US" w:eastAsia="zh-CN"/>
        </w:rPr>
        <w:t>机构</w:t>
      </w:r>
      <w:r>
        <w:rPr>
          <w:rFonts w:hint="eastAsia" w:ascii="黑体" w:eastAsia="黑体"/>
          <w:sz w:val="32"/>
          <w:szCs w:val="32"/>
          <w:lang w:eastAsia="zh-CN"/>
        </w:rPr>
        <w:t>情况</w:t>
      </w:r>
    </w:p>
    <w:p>
      <w:pPr>
        <w:ind w:firstLine="640" w:firstLineChars="200"/>
        <w:rPr>
          <w:rFonts w:hint="eastAsia" w:ascii="仿宋_GB2312" w:eastAsia="仿宋_GB2312"/>
          <w:sz w:val="32"/>
          <w:szCs w:val="32"/>
        </w:rPr>
      </w:pPr>
      <w:r>
        <w:rPr>
          <w:rFonts w:hint="eastAsia" w:ascii="仿宋" w:hAnsi="仿宋" w:eastAsia="仿宋" w:cs="仿宋"/>
          <w:sz w:val="32"/>
          <w:szCs w:val="32"/>
          <w:lang w:val="en-US" w:eastAsia="zh-CN"/>
        </w:rPr>
        <w:t>邓州市中医药管理局单位预算包含中医药管理局本级和邓州市中医院、邓州市血管病研究所等3个单位的预算</w:t>
      </w:r>
      <w:r>
        <w:rPr>
          <w:rFonts w:hint="eastAsia" w:ascii="仿宋" w:hAnsi="仿宋" w:eastAsia="仿宋" w:cs="仿宋"/>
          <w:sz w:val="32"/>
          <w:szCs w:val="32"/>
        </w:rPr>
        <w:t>。</w:t>
      </w:r>
    </w:p>
    <w:p>
      <w:pPr>
        <w:widowControl w:val="0"/>
        <w:wordWrap/>
        <w:spacing w:line="600" w:lineRule="exact"/>
        <w:jc w:val="center"/>
        <w:textAlignment w:val="auto"/>
        <w:rPr>
          <w:rFonts w:hint="eastAsia" w:ascii="黑体" w:hAnsi="宋体" w:eastAsia="黑体"/>
          <w:sz w:val="32"/>
          <w:szCs w:val="32"/>
        </w:rPr>
      </w:pPr>
      <w:r>
        <w:rPr>
          <w:rFonts w:hint="eastAsia" w:ascii="黑体" w:hAnsi="宋体" w:eastAsia="黑体"/>
          <w:sz w:val="32"/>
          <w:szCs w:val="32"/>
        </w:rPr>
        <w:t>第二部分</w:t>
      </w:r>
    </w:p>
    <w:p>
      <w:pPr>
        <w:widowControl w:val="0"/>
        <w:wordWrap/>
        <w:spacing w:line="600" w:lineRule="exact"/>
        <w:jc w:val="center"/>
        <w:textAlignment w:val="auto"/>
        <w:rPr>
          <w:rFonts w:ascii="黑体" w:hAnsi="宋体" w:eastAsia="黑体"/>
          <w:sz w:val="32"/>
          <w:szCs w:val="32"/>
        </w:rPr>
      </w:pPr>
      <w:r>
        <w:rPr>
          <w:rFonts w:hint="eastAsia" w:ascii="黑体" w:hAnsi="宋体" w:eastAsia="黑体"/>
          <w:sz w:val="32"/>
          <w:szCs w:val="32"/>
        </w:rPr>
        <w:t>邓州市</w:t>
      </w:r>
      <w:r>
        <w:rPr>
          <w:rFonts w:hint="eastAsia" w:ascii="黑体" w:hAnsi="宋体" w:eastAsia="黑体"/>
          <w:sz w:val="32"/>
          <w:szCs w:val="32"/>
          <w:lang w:val="en-US" w:eastAsia="zh-CN"/>
        </w:rPr>
        <w:t>中医药管理局</w:t>
      </w:r>
      <w:r>
        <w:rPr>
          <w:rFonts w:hint="eastAsia" w:ascii="黑体" w:hAnsi="宋体" w:eastAsia="黑体"/>
          <w:sz w:val="32"/>
          <w:szCs w:val="32"/>
          <w:lang w:eastAsia="zh-CN"/>
        </w:rPr>
        <w:t>20</w:t>
      </w:r>
      <w:r>
        <w:rPr>
          <w:rFonts w:hint="eastAsia" w:ascii="黑体" w:hAnsi="宋体" w:eastAsia="黑体"/>
          <w:sz w:val="32"/>
          <w:szCs w:val="32"/>
          <w:lang w:val="en-US" w:eastAsia="zh-CN"/>
        </w:rPr>
        <w:t>21</w:t>
      </w:r>
      <w:r>
        <w:rPr>
          <w:rFonts w:hint="eastAsia" w:ascii="黑体" w:hAnsi="宋体" w:eastAsia="黑体"/>
          <w:sz w:val="32"/>
          <w:szCs w:val="32"/>
        </w:rPr>
        <w:t>年</w:t>
      </w:r>
      <w:r>
        <w:rPr>
          <w:rFonts w:hint="eastAsia" w:ascii="黑体" w:hAnsi="宋体" w:eastAsia="黑体"/>
          <w:sz w:val="32"/>
          <w:szCs w:val="32"/>
          <w:lang w:val="en-US" w:eastAsia="zh-CN"/>
        </w:rPr>
        <w:t>单位</w:t>
      </w:r>
      <w:r>
        <w:rPr>
          <w:rFonts w:hint="eastAsia" w:ascii="黑体" w:hAnsi="宋体" w:eastAsia="黑体"/>
          <w:sz w:val="32"/>
          <w:szCs w:val="32"/>
        </w:rPr>
        <w:t>预算情况说明</w:t>
      </w:r>
    </w:p>
    <w:p>
      <w:pPr>
        <w:widowControl w:val="0"/>
        <w:wordWrap/>
        <w:spacing w:beforeLines="100" w:line="600" w:lineRule="exact"/>
        <w:ind w:firstLine="640" w:firstLineChars="200"/>
        <w:textAlignment w:val="auto"/>
        <w:rPr>
          <w:rFonts w:ascii="黑体" w:eastAsia="黑体"/>
          <w:sz w:val="32"/>
          <w:szCs w:val="32"/>
        </w:rPr>
      </w:pPr>
      <w:r>
        <w:rPr>
          <w:rFonts w:hint="eastAsia" w:ascii="黑体" w:eastAsia="黑体"/>
          <w:sz w:val="32"/>
          <w:szCs w:val="32"/>
        </w:rPr>
        <w:t>一、收入支出预算总体情况说明</w:t>
      </w:r>
    </w:p>
    <w:p>
      <w:pPr>
        <w:widowControl w:val="0"/>
        <w:wordWrap/>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年收入总计347.91 万元，支出总计</w:t>
      </w:r>
      <w:r>
        <w:rPr>
          <w:rFonts w:hint="eastAsia" w:ascii="仿宋_GB2312" w:hAnsi="仿宋_GB2312" w:eastAsia="仿宋_GB2312" w:cs="仿宋_GB2312"/>
          <w:sz w:val="32"/>
          <w:szCs w:val="32"/>
          <w:lang w:val="en-US" w:eastAsia="zh-CN"/>
        </w:rPr>
        <w:t>347.91</w:t>
      </w:r>
      <w:r>
        <w:rPr>
          <w:rFonts w:hint="eastAsia" w:ascii="仿宋_GB2312" w:hAnsi="仿宋_GB2312" w:eastAsia="仿宋_GB2312" w:cs="仿宋_GB2312"/>
          <w:sz w:val="32"/>
          <w:szCs w:val="32"/>
        </w:rPr>
        <w:t>万元，与</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年相比，收入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lang w:val="en-US" w:eastAsia="zh-CN"/>
        </w:rPr>
        <w:t>增加了9.43</w:t>
      </w:r>
      <w:r>
        <w:rPr>
          <w:rFonts w:hint="eastAsia" w:ascii="仿宋_GB2312" w:hAnsi="仿宋_GB2312" w:eastAsia="仿宋_GB2312" w:cs="仿宋_GB2312"/>
          <w:sz w:val="32"/>
          <w:szCs w:val="32"/>
        </w:rPr>
        <w:t>万元。主要原因：</w:t>
      </w:r>
      <w:r>
        <w:rPr>
          <w:rFonts w:hint="eastAsia" w:ascii="仿宋_GB2312" w:hAnsi="仿宋_GB2312" w:eastAsia="仿宋_GB2312" w:cs="仿宋_GB2312"/>
          <w:sz w:val="32"/>
          <w:szCs w:val="32"/>
          <w:lang w:val="en-US" w:eastAsia="zh-CN"/>
        </w:rPr>
        <w:t>一是上级提前下达的中医药专项转移支付额度增加，二是人员工资待遇和社保缴费预算正常提高</w:t>
      </w:r>
      <w:r>
        <w:rPr>
          <w:rFonts w:hint="eastAsia" w:ascii="仿宋_GB2312" w:hAnsi="仿宋_GB2312" w:eastAsia="仿宋_GB2312" w:cs="仿宋_GB2312"/>
          <w:sz w:val="32"/>
          <w:szCs w:val="32"/>
        </w:rPr>
        <w:t xml:space="preserve">。 </w:t>
      </w:r>
    </w:p>
    <w:p>
      <w:pPr>
        <w:widowControl w:val="0"/>
        <w:wordWrap/>
        <w:spacing w:line="600" w:lineRule="exact"/>
        <w:ind w:firstLine="567"/>
        <w:textAlignment w:val="auto"/>
        <w:rPr>
          <w:rFonts w:ascii="黑体" w:eastAsia="黑体"/>
          <w:sz w:val="32"/>
          <w:szCs w:val="32"/>
        </w:rPr>
      </w:pPr>
      <w:r>
        <w:rPr>
          <w:rFonts w:hint="eastAsia" w:ascii="黑体" w:eastAsia="黑体"/>
          <w:sz w:val="32"/>
          <w:szCs w:val="32"/>
        </w:rPr>
        <w:t>二、收入预算</w:t>
      </w:r>
      <w:r>
        <w:rPr>
          <w:rFonts w:hint="eastAsia" w:ascii="黑体" w:eastAsia="黑体"/>
          <w:sz w:val="32"/>
          <w:szCs w:val="32"/>
          <w:lang w:eastAsia="zh-CN"/>
        </w:rPr>
        <w:t>总体情况</w:t>
      </w:r>
      <w:r>
        <w:rPr>
          <w:rFonts w:hint="eastAsia" w:ascii="黑体" w:eastAsia="黑体"/>
          <w:sz w:val="32"/>
          <w:szCs w:val="32"/>
        </w:rPr>
        <w:t>说明</w:t>
      </w:r>
    </w:p>
    <w:p>
      <w:pPr>
        <w:widowControl w:val="0"/>
        <w:wordWrap/>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2021年收入预算347.91万元，其中：一般公共预算收入272.91万元，政府性基金收入0万元，国有资本经营预算收入0万元，财政专户管理资金收入0万元，提前下达转移支付安排75万元。</w:t>
      </w:r>
    </w:p>
    <w:p>
      <w:pPr>
        <w:widowControl w:val="0"/>
        <w:wordWrap/>
        <w:spacing w:line="600" w:lineRule="exact"/>
        <w:ind w:firstLine="709"/>
        <w:textAlignment w:val="auto"/>
        <w:rPr>
          <w:rFonts w:ascii="黑体" w:eastAsia="黑体"/>
          <w:sz w:val="32"/>
          <w:szCs w:val="32"/>
        </w:rPr>
      </w:pPr>
      <w:r>
        <w:rPr>
          <w:rFonts w:hint="eastAsia" w:ascii="黑体" w:eastAsia="黑体"/>
          <w:sz w:val="32"/>
          <w:szCs w:val="32"/>
        </w:rPr>
        <w:t>三、支出预算</w:t>
      </w:r>
      <w:r>
        <w:rPr>
          <w:rFonts w:hint="eastAsia" w:ascii="黑体" w:eastAsia="黑体"/>
          <w:sz w:val="32"/>
          <w:szCs w:val="32"/>
          <w:lang w:eastAsia="zh-CN"/>
        </w:rPr>
        <w:t>总体情况</w:t>
      </w:r>
      <w:r>
        <w:rPr>
          <w:rFonts w:hint="eastAsia" w:ascii="黑体" w:eastAsia="黑体"/>
          <w:sz w:val="32"/>
          <w:szCs w:val="32"/>
        </w:rPr>
        <w:t>说明</w:t>
      </w:r>
    </w:p>
    <w:p>
      <w:pPr>
        <w:widowControl w:val="0"/>
        <w:wordWrap/>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2021年支出预算347.91万元，其中：基本支出227.91万元，占年度计划的65.51%；项目支出120万元，占年度计划的34.49%。 </w:t>
      </w:r>
    </w:p>
    <w:p>
      <w:pPr>
        <w:widowControl w:val="0"/>
        <w:wordWrap/>
        <w:spacing w:line="600" w:lineRule="exact"/>
        <w:ind w:firstLine="640" w:firstLineChars="200"/>
        <w:textAlignment w:val="auto"/>
        <w:rPr>
          <w:rFonts w:hint="eastAsia" w:ascii="黑体" w:hAnsi="黑体" w:eastAsia="黑体" w:cs="Times New Roman"/>
          <w:sz w:val="32"/>
          <w:szCs w:val="32"/>
          <w:lang w:eastAsia="zh-CN"/>
        </w:rPr>
      </w:pPr>
      <w:r>
        <w:rPr>
          <w:rFonts w:hint="eastAsia" w:ascii="黑体" w:hAnsi="黑体" w:eastAsia="黑体" w:cs="Times New Roman"/>
          <w:sz w:val="32"/>
          <w:szCs w:val="32"/>
          <w:lang w:eastAsia="zh-CN"/>
        </w:rPr>
        <w:t>四、财政拨款收支预算总体情况说明</w:t>
      </w:r>
    </w:p>
    <w:p>
      <w:pPr>
        <w:widowControl w:val="0"/>
        <w:wordWrap/>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2021年一般公共预算收支预算347.91万元，政府性基金收支预算0万元，国有资本经营收支预算0万元。</w:t>
      </w:r>
    </w:p>
    <w:p>
      <w:pPr>
        <w:widowControl w:val="0"/>
        <w:wordWrap/>
        <w:spacing w:line="600" w:lineRule="exact"/>
        <w:ind w:firstLine="640" w:firstLineChars="200"/>
        <w:textAlignment w:val="auto"/>
        <w:rPr>
          <w:rFonts w:hint="eastAsia" w:ascii="仿宋_GB2312" w:hAnsi="Times New Roman" w:eastAsia="仿宋_GB2312" w:cs="Times New Roman"/>
          <w:sz w:val="32"/>
          <w:szCs w:val="32"/>
        </w:rPr>
      </w:pPr>
      <w:r>
        <w:rPr>
          <w:rFonts w:hint="eastAsia" w:ascii="黑体" w:hAnsi="黑体" w:eastAsia="黑体" w:cs="Times New Roman"/>
          <w:sz w:val="32"/>
          <w:szCs w:val="32"/>
          <w:lang w:eastAsia="zh-CN"/>
        </w:rPr>
        <w:t>五</w:t>
      </w:r>
      <w:r>
        <w:rPr>
          <w:rFonts w:hint="eastAsia" w:ascii="黑体" w:hAnsi="黑体" w:eastAsia="黑体" w:cs="Times New Roman"/>
          <w:sz w:val="32"/>
          <w:szCs w:val="32"/>
        </w:rPr>
        <w:t>、一般公共预算支出预算情况说明</w:t>
      </w:r>
    </w:p>
    <w:p>
      <w:pPr>
        <w:widowControl w:val="0"/>
        <w:wordWrap/>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2021年一般公共预算支出年初预算272.91万元，其中：基本支出227.91万元，占年度计划的83.51%；项目支出45万元，占年度计划的16.49%。 </w:t>
      </w:r>
    </w:p>
    <w:p>
      <w:pPr>
        <w:widowControl w:val="0"/>
        <w:numPr>
          <w:ilvl w:val="0"/>
          <w:numId w:val="2"/>
        </w:numPr>
        <w:wordWrap/>
        <w:spacing w:line="600" w:lineRule="exact"/>
        <w:ind w:firstLine="709"/>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一般公共预算基本支出预算情况说明</w:t>
      </w:r>
    </w:p>
    <w:p>
      <w:pPr>
        <w:widowControl w:val="0"/>
        <w:wordWrap/>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2021年一般公共预算基本支出年初预算为227.91万元。其中：人员经费支出215.61万元，占94.60%；公用经费支出12.3万元，占5.4%。</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七、支出预算经济分类情况说明</w:t>
      </w:r>
    </w:p>
    <w:p>
      <w:pPr>
        <w:ind w:firstLine="709"/>
        <w:rPr>
          <w:rFonts w:hint="eastAsia"/>
          <w:lang w:val="en-US" w:eastAsia="zh-CN"/>
        </w:rPr>
      </w:pPr>
      <w:r>
        <w:rPr>
          <w:rFonts w:hint="eastAsia" w:ascii="Times New Roman" w:hAnsi="Times New Roman" w:eastAsia="仿宋_GB2312" w:cs="仿宋_GB2312"/>
          <w:sz w:val="32"/>
          <w:szCs w:val="32"/>
        </w:rPr>
        <w:t>按照《财政部关于印发</w:t>
      </w:r>
      <w:r>
        <w:rPr>
          <w:rFonts w:ascii="Times New Roman" w:hAnsi="Times New Roman" w:eastAsia="仿宋_GB2312" w:cs="Times New Roman"/>
          <w:sz w:val="32"/>
          <w:szCs w:val="32"/>
        </w:rPr>
        <w:t>&lt;</w:t>
      </w:r>
      <w:r>
        <w:rPr>
          <w:rFonts w:hint="eastAsia" w:ascii="Times New Roman" w:hAnsi="Times New Roman" w:eastAsia="仿宋_GB2312" w:cs="仿宋_GB2312"/>
          <w:sz w:val="32"/>
          <w:szCs w:val="32"/>
        </w:rPr>
        <w:t>支出经济分类科目改革方案</w:t>
      </w:r>
      <w:r>
        <w:rPr>
          <w:rFonts w:ascii="Times New Roman" w:hAnsi="Times New Roman" w:eastAsia="仿宋_GB2312" w:cs="Times New Roman"/>
          <w:sz w:val="32"/>
          <w:szCs w:val="32"/>
        </w:rPr>
        <w:t>&gt;</w:t>
      </w:r>
      <w:r>
        <w:rPr>
          <w:rFonts w:hint="eastAsia" w:ascii="Times New Roman" w:hAnsi="Times New Roman" w:eastAsia="仿宋_GB2312" w:cs="仿宋_GB2312"/>
          <w:sz w:val="32"/>
          <w:szCs w:val="32"/>
        </w:rPr>
        <w:t>的通知》（财预〔</w:t>
      </w:r>
      <w:r>
        <w:rPr>
          <w:rFonts w:ascii="Times New Roman" w:hAnsi="Times New Roman" w:eastAsia="仿宋_GB2312" w:cs="Times New Roman"/>
          <w:sz w:val="32"/>
          <w:szCs w:val="32"/>
        </w:rPr>
        <w:t>2017</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98</w:t>
      </w:r>
      <w:r>
        <w:rPr>
          <w:rFonts w:hint="eastAsia" w:ascii="Times New Roman" w:hAnsi="Times New Roman" w:eastAsia="仿宋_GB2312" w:cs="仿宋_GB2312"/>
          <w:sz w:val="32"/>
          <w:szCs w:val="32"/>
        </w:rPr>
        <w:t>号）要求，从</w:t>
      </w:r>
      <w:r>
        <w:rPr>
          <w:rFonts w:ascii="Times New Roman" w:hAnsi="Times New Roman" w:eastAsia="仿宋_GB2312" w:cs="Times New Roman"/>
          <w:sz w:val="32"/>
          <w:szCs w:val="32"/>
        </w:rPr>
        <w:t>2018</w:t>
      </w:r>
      <w:r>
        <w:rPr>
          <w:rFonts w:hint="eastAsia" w:ascii="Times New Roman" w:hAnsi="Times New Roman" w:eastAsia="仿宋_GB2312" w:cs="仿宋_GB2312"/>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按两套经济分类科目分别反映不同资金来源的全部预算支出。</w:t>
      </w:r>
    </w:p>
    <w:p>
      <w:pPr>
        <w:widowControl w:val="0"/>
        <w:numPr>
          <w:ilvl w:val="0"/>
          <w:numId w:val="0"/>
        </w:numPr>
        <w:wordWrap/>
        <w:spacing w:line="600" w:lineRule="exact"/>
        <w:ind w:left="709" w:leftChars="0"/>
        <w:textAlignment w:val="auto"/>
        <w:rPr>
          <w:rFonts w:hint="eastAsia" w:ascii="仿宋_GB2312" w:hAnsi="仿宋_GB2312" w:eastAsia="仿宋_GB2312" w:cs="仿宋_GB2312"/>
          <w:color w:val="auto"/>
          <w:sz w:val="32"/>
          <w:szCs w:val="32"/>
          <w:highlight w:val="none"/>
          <w:lang w:eastAsia="zh-CN"/>
        </w:rPr>
      </w:pPr>
      <w:r>
        <w:rPr>
          <w:rFonts w:hint="eastAsia" w:ascii="黑体" w:eastAsia="黑体"/>
          <w:sz w:val="32"/>
          <w:szCs w:val="32"/>
          <w:lang w:eastAsia="zh-CN"/>
        </w:rPr>
        <w:t>八、一般公共预算</w:t>
      </w:r>
      <w:r>
        <w:rPr>
          <w:rFonts w:hint="eastAsia" w:ascii="黑体" w:eastAsia="黑体"/>
          <w:sz w:val="32"/>
          <w:szCs w:val="32"/>
        </w:rPr>
        <w:t>“三公”经费支出预算情况说明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年“三公”经费预算为</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lang w:eastAsia="zh-CN"/>
        </w:rPr>
        <w:t>万元，比202</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eastAsia="zh-CN"/>
        </w:rPr>
        <w:t>年增加</w:t>
      </w:r>
      <w:r>
        <w:rPr>
          <w:rFonts w:hint="eastAsia" w:ascii="仿宋_GB2312" w:hAnsi="仿宋_GB2312" w:eastAsia="仿宋_GB2312" w:cs="仿宋_GB2312"/>
          <w:color w:val="auto"/>
          <w:sz w:val="32"/>
          <w:szCs w:val="32"/>
          <w:highlight w:val="none"/>
          <w:lang w:val="en-US" w:eastAsia="zh-CN"/>
        </w:rPr>
        <w:t>1万元。主要原因是公务开支增加。</w:t>
      </w:r>
    </w:p>
    <w:p>
      <w:pPr>
        <w:widowControl w:val="0"/>
        <w:kinsoku w:val="0"/>
        <w:overflowPunct w:val="0"/>
        <w:autoSpaceDE w:val="0"/>
        <w:autoSpaceDN w:val="0"/>
        <w:spacing w:before="0" w:beforeAutospacing="0" w:after="0" w:afterAutospacing="0" w:line="600" w:lineRule="exact"/>
        <w:ind w:left="0" w:right="0" w:firstLine="640" w:firstLineChars="200"/>
        <w:jc w:val="both"/>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具体支出情况如下：</w:t>
      </w:r>
    </w:p>
    <w:p>
      <w:pPr>
        <w:widowControl w:val="0"/>
        <w:kinsoku w:val="0"/>
        <w:overflowPunct w:val="0"/>
        <w:autoSpaceDE w:val="0"/>
        <w:autoSpaceDN w:val="0"/>
        <w:spacing w:before="0" w:beforeAutospacing="0" w:after="0" w:afterAutospacing="0" w:line="600" w:lineRule="exact"/>
        <w:ind w:left="0" w:right="0" w:firstLine="643" w:firstLineChars="200"/>
        <w:jc w:val="both"/>
        <w:rPr>
          <w:rFonts w:hint="default" w:ascii="Times New Roman" w:hAnsi="Times New Roman" w:eastAsia="仿宋_GB2312" w:cs="Times New Roman"/>
          <w:color w:val="auto"/>
          <w:sz w:val="32"/>
          <w:szCs w:val="32"/>
          <w:highlight w:val="none"/>
          <w:lang w:val="en-US"/>
        </w:rPr>
      </w:pPr>
      <w:r>
        <w:rPr>
          <w:rFonts w:hint="eastAsia" w:ascii="仿宋_GB2312" w:eastAsia="仿宋_GB2312"/>
          <w:b/>
          <w:bCs/>
          <w:color w:val="auto"/>
          <w:sz w:val="32"/>
          <w:szCs w:val="32"/>
          <w:highlight w:val="none"/>
        </w:rPr>
        <w:t>因公出国（境）费</w:t>
      </w:r>
      <w:r>
        <w:rPr>
          <w:rFonts w:hint="eastAsia" w:ascii="仿宋_GB2312" w:eastAsia="仿宋_GB2312"/>
          <w:b/>
          <w:bCs/>
          <w:color w:val="auto"/>
          <w:sz w:val="32"/>
          <w:szCs w:val="32"/>
          <w:highlight w:val="none"/>
          <w:lang w:val="en-US" w:eastAsia="zh-CN"/>
        </w:rPr>
        <w:t>0</w:t>
      </w:r>
      <w:r>
        <w:rPr>
          <w:rFonts w:hint="eastAsia" w:ascii="仿宋_GB2312" w:eastAsia="仿宋_GB2312"/>
          <w:b/>
          <w:bCs/>
          <w:color w:val="auto"/>
          <w:sz w:val="32"/>
          <w:szCs w:val="32"/>
          <w:highlight w:val="none"/>
        </w:rPr>
        <w:t>万元</w:t>
      </w:r>
      <w:r>
        <w:rPr>
          <w:rFonts w:hint="eastAsia" w:ascii="仿宋_GB2312" w:eastAsia="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主要用于单位工作人员公务出国（境）的住宿费、差旅费、伙食补助费、杂费、培训费等支出。预算数比</w:t>
      </w:r>
      <w:r>
        <w:rPr>
          <w:rFonts w:hint="default"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2020年保持一致。</w:t>
      </w:r>
    </w:p>
    <w:p>
      <w:pPr>
        <w:widowControl w:val="0"/>
        <w:wordWrap/>
        <w:spacing w:line="600" w:lineRule="exact"/>
        <w:ind w:left="19" w:leftChars="9" w:firstLine="623" w:firstLineChars="194"/>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eastAsia="仿宋_GB2312"/>
          <w:b/>
          <w:bCs/>
          <w:color w:val="auto"/>
          <w:sz w:val="32"/>
          <w:szCs w:val="32"/>
          <w:highlight w:val="none"/>
        </w:rPr>
        <w:t>公务用车购置费</w:t>
      </w:r>
      <w:r>
        <w:rPr>
          <w:rFonts w:hint="eastAsia" w:ascii="仿宋_GB2312" w:eastAsia="仿宋_GB2312"/>
          <w:b/>
          <w:bCs/>
          <w:color w:val="auto"/>
          <w:sz w:val="32"/>
          <w:szCs w:val="32"/>
          <w:highlight w:val="none"/>
          <w:lang w:eastAsia="zh-CN"/>
        </w:rPr>
        <w:t>及维护费</w:t>
      </w:r>
      <w:r>
        <w:rPr>
          <w:rFonts w:hint="eastAsia" w:ascii="仿宋_GB2312" w:eastAsia="仿宋_GB2312"/>
          <w:b/>
          <w:bCs/>
          <w:color w:val="auto"/>
          <w:sz w:val="32"/>
          <w:szCs w:val="32"/>
          <w:highlight w:val="none"/>
          <w:lang w:val="en-US" w:eastAsia="zh-CN"/>
        </w:rPr>
        <w:t>0.6</w:t>
      </w:r>
      <w:r>
        <w:rPr>
          <w:rFonts w:hint="eastAsia" w:ascii="仿宋_GB2312" w:eastAsia="仿宋_GB2312"/>
          <w:b/>
          <w:bCs/>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hAnsi="仿宋_GB2312" w:eastAsia="仿宋_GB2312" w:cs="仿宋_GB2312"/>
          <w:color w:val="auto"/>
          <w:sz w:val="32"/>
          <w:szCs w:val="32"/>
          <w:lang w:val="en-US" w:eastAsia="zh-CN"/>
        </w:rPr>
        <w:t>公务用车运行维护费预算数比2020年保持一致。</w:t>
      </w:r>
      <w:r>
        <w:rPr>
          <w:rFonts w:hint="eastAsia" w:ascii="仿宋_GB2312" w:hAnsi="仿宋_GB2312" w:eastAsia="仿宋_GB2312" w:cs="仿宋_GB2312"/>
          <w:color w:val="auto"/>
          <w:sz w:val="32"/>
          <w:szCs w:val="32"/>
          <w:highlight w:val="none"/>
          <w:lang w:eastAsia="zh-CN"/>
        </w:rPr>
        <w:t>其中，</w:t>
      </w:r>
      <w:r>
        <w:rPr>
          <w:rFonts w:hint="eastAsia" w:ascii="仿宋_GB2312" w:hAnsi="仿宋_GB2312" w:eastAsia="仿宋_GB2312" w:cs="仿宋_GB2312"/>
          <w:color w:val="auto"/>
          <w:sz w:val="32"/>
          <w:szCs w:val="32"/>
          <w:highlight w:val="none"/>
          <w:lang w:val="en-US" w:eastAsia="zh-CN"/>
        </w:rPr>
        <w:t>公务用车购置费0万元；</w:t>
      </w:r>
      <w:r>
        <w:rPr>
          <w:rFonts w:hint="eastAsia" w:ascii="仿宋_GB2312" w:hAnsi="仿宋_GB2312" w:eastAsia="仿宋_GB2312" w:cs="仿宋_GB2312"/>
          <w:color w:val="auto"/>
          <w:sz w:val="32"/>
          <w:szCs w:val="32"/>
          <w:highlight w:val="none"/>
          <w:lang w:eastAsia="zh-CN"/>
        </w:rPr>
        <w:t>公务用车维护费</w:t>
      </w:r>
      <w:r>
        <w:rPr>
          <w:rFonts w:hint="eastAsia" w:ascii="仿宋_GB2312" w:hAnsi="仿宋_GB2312" w:eastAsia="仿宋_GB2312" w:cs="仿宋_GB2312"/>
          <w:color w:val="auto"/>
          <w:sz w:val="32"/>
          <w:szCs w:val="32"/>
          <w:highlight w:val="none"/>
          <w:lang w:val="en-US" w:eastAsia="zh-CN"/>
        </w:rPr>
        <w:t>0.6万元。主要用于开展工作所需公务用车的燃料费、维修费、过路过桥费、保险费等支出。公务用车购置费预算数比2020年略有增加，公务用车运行维护费预算数比2020年增加0.6万元。</w:t>
      </w:r>
    </w:p>
    <w:p>
      <w:pPr>
        <w:widowControl w:val="0"/>
        <w:wordWrap/>
        <w:spacing w:line="600" w:lineRule="exact"/>
        <w:ind w:left="19" w:leftChars="9" w:firstLine="623" w:firstLineChars="194"/>
        <w:textAlignment w:val="auto"/>
        <w:rPr>
          <w:rFonts w:hint="eastAsia" w:ascii="仿宋" w:hAnsi="仿宋" w:eastAsia="仿宋" w:cs="仿宋"/>
          <w:color w:val="auto"/>
          <w:kern w:val="2"/>
          <w:sz w:val="32"/>
          <w:szCs w:val="32"/>
          <w:lang w:val="en-US" w:eastAsia="zh-CN"/>
        </w:rPr>
      </w:pPr>
      <w:r>
        <w:rPr>
          <w:rFonts w:hint="eastAsia" w:ascii="仿宋" w:hAnsi="仿宋" w:eastAsia="仿宋" w:cs="仿宋"/>
          <w:b/>
          <w:bCs/>
          <w:color w:val="auto"/>
          <w:sz w:val="32"/>
          <w:szCs w:val="32"/>
        </w:rPr>
        <w:t>公务接待费</w:t>
      </w:r>
      <w:r>
        <w:rPr>
          <w:rFonts w:hint="eastAsia" w:ascii="仿宋" w:hAnsi="仿宋" w:eastAsia="仿宋" w:cs="仿宋"/>
          <w:b/>
          <w:bCs/>
          <w:color w:val="auto"/>
          <w:sz w:val="32"/>
          <w:szCs w:val="32"/>
          <w:lang w:val="en-US" w:eastAsia="zh-CN"/>
        </w:rPr>
        <w:t>0.4</w:t>
      </w:r>
      <w:r>
        <w:rPr>
          <w:rFonts w:hint="eastAsia" w:ascii="仿宋" w:hAnsi="仿宋" w:eastAsia="仿宋" w:cs="仿宋"/>
          <w:b/>
          <w:bCs/>
          <w:color w:val="auto"/>
          <w:sz w:val="32"/>
          <w:szCs w:val="32"/>
        </w:rPr>
        <w:t>万元</w:t>
      </w:r>
      <w:r>
        <w:rPr>
          <w:rFonts w:hint="eastAsia" w:ascii="仿宋" w:hAnsi="仿宋" w:eastAsia="仿宋" w:cs="仿宋"/>
          <w:color w:val="auto"/>
          <w:sz w:val="32"/>
          <w:szCs w:val="32"/>
        </w:rPr>
        <w:t>。</w:t>
      </w:r>
      <w:r>
        <w:rPr>
          <w:rFonts w:hint="eastAsia" w:ascii="仿宋_GB2312" w:hAnsi="仿宋_GB2312" w:eastAsia="仿宋_GB2312" w:cs="仿宋_GB2312"/>
          <w:color w:val="auto"/>
          <w:sz w:val="32"/>
          <w:szCs w:val="32"/>
          <w:lang w:val="en-US" w:eastAsia="zh-CN"/>
        </w:rPr>
        <w:t>主要用于按规定开支的各类公务接待支出。预算数比 2020年增加0.4万元。主要原因：公务开支增加。</w:t>
      </w:r>
    </w:p>
    <w:p>
      <w:pPr>
        <w:pStyle w:val="2"/>
        <w:rPr>
          <w:rFonts w:hint="eastAsia"/>
          <w:color w:val="FF0000"/>
          <w:lang w:val="en-US" w:eastAsia="zh-CN"/>
        </w:rPr>
      </w:pPr>
    </w:p>
    <w:p>
      <w:pPr>
        <w:widowControl w:val="0"/>
        <w:wordWrap/>
        <w:spacing w:line="600" w:lineRule="exact"/>
        <w:ind w:firstLine="640" w:firstLineChars="200"/>
        <w:textAlignment w:val="auto"/>
        <w:rPr>
          <w:rFonts w:hint="eastAsia" w:ascii="黑体" w:eastAsia="黑体"/>
          <w:sz w:val="32"/>
          <w:szCs w:val="32"/>
        </w:rPr>
      </w:pPr>
      <w:r>
        <w:rPr>
          <w:rFonts w:hint="eastAsia" w:ascii="黑体" w:eastAsia="黑体"/>
          <w:sz w:val="32"/>
          <w:szCs w:val="32"/>
          <w:lang w:eastAsia="zh-CN"/>
        </w:rPr>
        <w:t>九</w:t>
      </w:r>
      <w:r>
        <w:rPr>
          <w:rFonts w:hint="eastAsia" w:ascii="黑体" w:eastAsia="黑体"/>
          <w:sz w:val="32"/>
          <w:szCs w:val="32"/>
        </w:rPr>
        <w:t>、政府性基金预算支出</w:t>
      </w:r>
      <w:r>
        <w:rPr>
          <w:rFonts w:hint="eastAsia" w:ascii="黑体" w:eastAsia="黑体"/>
          <w:sz w:val="32"/>
          <w:szCs w:val="32"/>
          <w:lang w:eastAsia="zh-CN"/>
        </w:rPr>
        <w:t>预</w:t>
      </w:r>
      <w:r>
        <w:rPr>
          <w:rFonts w:hint="eastAsia" w:ascii="黑体" w:eastAsia="黑体"/>
          <w:sz w:val="32"/>
          <w:szCs w:val="32"/>
        </w:rPr>
        <w:t>算情况说明</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2021年没有使用政府性基金预算拨款安排的支出。</w:t>
      </w:r>
    </w:p>
    <w:p>
      <w:pPr>
        <w:widowControl w:val="0"/>
        <w:wordWrap/>
        <w:spacing w:line="600" w:lineRule="exact"/>
        <w:ind w:firstLine="709"/>
        <w:textAlignment w:val="auto"/>
        <w:rPr>
          <w:rFonts w:ascii="黑体" w:eastAsia="黑体"/>
          <w:sz w:val="32"/>
          <w:szCs w:val="32"/>
        </w:rPr>
      </w:pPr>
      <w:r>
        <w:rPr>
          <w:rFonts w:hint="eastAsia" w:ascii="黑体" w:eastAsia="黑体"/>
          <w:sz w:val="32"/>
          <w:szCs w:val="32"/>
          <w:lang w:val="en-US" w:eastAsia="zh-CN"/>
        </w:rPr>
        <w:t>十</w:t>
      </w:r>
      <w:r>
        <w:rPr>
          <w:rFonts w:hint="eastAsia" w:ascii="黑体" w:eastAsia="黑体"/>
          <w:sz w:val="32"/>
          <w:szCs w:val="32"/>
        </w:rPr>
        <w:t>、其他重要事项的情况说明</w:t>
      </w:r>
    </w:p>
    <w:p>
      <w:pPr>
        <w:widowControl w:val="0"/>
        <w:wordWrap/>
        <w:spacing w:line="600" w:lineRule="exact"/>
        <w:textAlignment w:val="auto"/>
        <w:rPr>
          <w:rFonts w:hint="eastAsia" w:ascii="仿宋" w:hAnsi="仿宋" w:eastAsia="仿宋" w:cs="仿宋"/>
          <w:b/>
          <w:sz w:val="32"/>
          <w:szCs w:val="32"/>
          <w:lang w:eastAsia="zh-CN"/>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（一）</w:t>
      </w:r>
      <w:r>
        <w:rPr>
          <w:rFonts w:hint="eastAsia" w:ascii="仿宋" w:hAnsi="仿宋" w:eastAsia="仿宋" w:cs="仿宋"/>
          <w:b/>
          <w:sz w:val="32"/>
          <w:szCs w:val="32"/>
          <w:lang w:eastAsia="zh-CN"/>
        </w:rPr>
        <w:t>事业单位机构运转经费</w:t>
      </w:r>
    </w:p>
    <w:p>
      <w:pPr>
        <w:ind w:firstLine="709"/>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Times New Roman"/>
          <w:sz w:val="32"/>
          <w:szCs w:val="32"/>
          <w:lang w:eastAsia="zh-CN"/>
        </w:rPr>
        <w:t>我单位不是行政机关，也不是参照公务员管理事业单位，没有机关运行经费支出。</w:t>
      </w:r>
    </w:p>
    <w:p>
      <w:pPr>
        <w:widowControl w:val="0"/>
        <w:wordWrap/>
        <w:spacing w:line="600" w:lineRule="exact"/>
        <w:textAlignment w:val="auto"/>
        <w:rPr>
          <w:rFonts w:hint="eastAsia" w:ascii="仿宋" w:hAnsi="仿宋" w:eastAsia="仿宋" w:cs="仿宋"/>
          <w:b/>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（二）政府采购支出情况</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2021年无政府采购预算安排。</w:t>
      </w:r>
    </w:p>
    <w:p>
      <w:pPr>
        <w:widowControl w:val="0"/>
        <w:numPr>
          <w:ilvl w:val="0"/>
          <w:numId w:val="0"/>
        </w:numPr>
        <w:wordWrap/>
        <w:spacing w:line="600" w:lineRule="exact"/>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w:t>
      </w:r>
      <w:r>
        <w:rPr>
          <w:rFonts w:hint="eastAsia" w:ascii="仿宋" w:hAnsi="仿宋" w:eastAsia="仿宋" w:cs="仿宋"/>
          <w:b/>
          <w:sz w:val="32"/>
          <w:szCs w:val="32"/>
          <w:lang w:eastAsia="zh-CN"/>
        </w:rPr>
        <w:t>三</w:t>
      </w:r>
      <w:r>
        <w:rPr>
          <w:rFonts w:hint="eastAsia" w:ascii="仿宋" w:hAnsi="仿宋" w:eastAsia="仿宋" w:cs="仿宋"/>
          <w:b/>
          <w:sz w:val="32"/>
          <w:szCs w:val="32"/>
        </w:rPr>
        <w:t>）</w:t>
      </w:r>
      <w:r>
        <w:rPr>
          <w:rFonts w:hint="eastAsia" w:ascii="仿宋" w:hAnsi="仿宋" w:eastAsia="仿宋" w:cs="仿宋"/>
          <w:b/>
          <w:sz w:val="32"/>
          <w:szCs w:val="32"/>
          <w:lang w:val="en-US" w:eastAsia="zh-CN"/>
        </w:rPr>
        <w:t xml:space="preserve"> 绩效目标设置情况</w:t>
      </w:r>
    </w:p>
    <w:p>
      <w:pPr>
        <w:ind w:firstLine="420" w:firstLineChars="200"/>
        <w:rPr>
          <w:rFonts w:hint="eastAsia" w:eastAsia="宋体"/>
          <w:lang w:val="en-US" w:eastAsia="zh-CN"/>
        </w:rPr>
      </w:pPr>
      <w:r>
        <w:rPr>
          <w:rFonts w:hint="eastAsia"/>
          <w:lang w:val="en-US" w:eastAsia="zh-CN"/>
        </w:rPr>
        <w:t xml:space="preserve">   </w:t>
      </w:r>
      <w:r>
        <w:rPr>
          <w:rFonts w:hint="eastAsia" w:ascii="仿宋_GB2312" w:eastAsia="仿宋_GB2312"/>
          <w:sz w:val="32"/>
          <w:szCs w:val="32"/>
        </w:rPr>
        <w:t>2021年，我单位拟组织对中医药事业发展与传承</w:t>
      </w:r>
      <w:r>
        <w:rPr>
          <w:rFonts w:hint="eastAsia" w:ascii="仿宋_GB2312" w:eastAsia="仿宋_GB2312"/>
          <w:sz w:val="32"/>
          <w:szCs w:val="32"/>
          <w:lang w:eastAsia="zh-CN"/>
        </w:rPr>
        <w:t>、公立医院改革等</w:t>
      </w:r>
      <w:r>
        <w:rPr>
          <w:rFonts w:hint="eastAsia" w:ascii="仿宋_GB2312" w:eastAsia="仿宋_GB2312"/>
          <w:sz w:val="32"/>
          <w:szCs w:val="32"/>
          <w:lang w:val="en-US" w:eastAsia="zh-CN"/>
        </w:rPr>
        <w:t>2</w:t>
      </w:r>
      <w:r>
        <w:rPr>
          <w:rFonts w:hint="eastAsia" w:ascii="仿宋_GB2312" w:eastAsia="仿宋_GB2312"/>
          <w:sz w:val="32"/>
          <w:szCs w:val="32"/>
        </w:rPr>
        <w:t>个项目进行预算绩效评价，涉及资金</w:t>
      </w:r>
      <w:r>
        <w:rPr>
          <w:rFonts w:hint="eastAsia" w:ascii="仿宋_GB2312" w:eastAsia="仿宋_GB2312"/>
          <w:sz w:val="32"/>
          <w:szCs w:val="32"/>
          <w:lang w:val="en-US" w:eastAsia="zh-CN"/>
        </w:rPr>
        <w:t>75</w:t>
      </w:r>
      <w:r>
        <w:rPr>
          <w:rFonts w:hint="eastAsia" w:ascii="仿宋_GB2312" w:eastAsia="仿宋_GB2312"/>
          <w:sz w:val="32"/>
          <w:szCs w:val="32"/>
        </w:rPr>
        <w:t>万元。</w:t>
      </w:r>
    </w:p>
    <w:p>
      <w:pPr>
        <w:widowControl w:val="0"/>
        <w:wordWrap/>
        <w:spacing w:line="600" w:lineRule="exact"/>
        <w:textAlignment w:val="auto"/>
        <w:rPr>
          <w:rFonts w:hint="eastAsia" w:ascii="仿宋" w:hAnsi="仿宋" w:eastAsia="仿宋" w:cs="仿宋"/>
          <w:b/>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w:t>
      </w:r>
      <w:r>
        <w:rPr>
          <w:rFonts w:hint="eastAsia" w:ascii="仿宋" w:hAnsi="仿宋" w:eastAsia="仿宋" w:cs="仿宋"/>
          <w:b/>
          <w:sz w:val="32"/>
          <w:szCs w:val="32"/>
          <w:lang w:eastAsia="zh-CN"/>
        </w:rPr>
        <w:t>四</w:t>
      </w:r>
      <w:r>
        <w:rPr>
          <w:rFonts w:hint="eastAsia" w:ascii="仿宋" w:hAnsi="仿宋" w:eastAsia="仿宋" w:cs="仿宋"/>
          <w:b/>
          <w:sz w:val="32"/>
          <w:szCs w:val="32"/>
        </w:rPr>
        <w:t>）国有资产占用情况</w:t>
      </w:r>
    </w:p>
    <w:p>
      <w:pPr>
        <w:pStyle w:val="2"/>
        <w:rPr>
          <w:rFonts w:hint="eastAsia" w:ascii="黑体" w:hAnsi="宋体" w:eastAsia="黑体"/>
          <w:sz w:val="32"/>
          <w:szCs w:val="32"/>
        </w:rPr>
      </w:pPr>
      <w:r>
        <w:rPr>
          <w:rFonts w:hint="eastAsia" w:ascii="仿宋_GB2312" w:hAnsi="仿宋_GB2312" w:eastAsia="仿宋_GB2312" w:cs="仿宋_GB2312"/>
          <w:kern w:val="2"/>
          <w:sz w:val="32"/>
          <w:szCs w:val="32"/>
          <w:lang w:val="en-US" w:eastAsia="zh-CN" w:bidi="ar-SA"/>
        </w:rPr>
        <w:t>2020年期末，我单位共有车辆4辆，其中其他用车4辆。单价50万元以上通用设备0套，单位价值100万元以上专用设备0套。</w:t>
      </w:r>
    </w:p>
    <w:p>
      <w:pPr>
        <w:ind w:firstLine="709"/>
        <w:rPr>
          <w:rFonts w:ascii="仿宋_GB2312" w:eastAsia="仿宋_GB2312"/>
          <w:b/>
          <w:color w:val="auto"/>
          <w:sz w:val="32"/>
          <w:szCs w:val="32"/>
          <w:highlight w:val="none"/>
        </w:rPr>
      </w:pPr>
      <w:r>
        <w:rPr>
          <w:rFonts w:hint="eastAsia" w:ascii="仿宋_GB2312" w:eastAsia="仿宋_GB2312"/>
          <w:b/>
          <w:color w:val="auto"/>
          <w:sz w:val="32"/>
          <w:szCs w:val="32"/>
          <w:highlight w:val="none"/>
        </w:rPr>
        <w:t>（</w:t>
      </w:r>
      <w:r>
        <w:rPr>
          <w:rFonts w:hint="eastAsia" w:ascii="仿宋_GB2312" w:eastAsia="仿宋_GB2312"/>
          <w:b/>
          <w:color w:val="auto"/>
          <w:sz w:val="32"/>
          <w:szCs w:val="32"/>
          <w:highlight w:val="none"/>
          <w:lang w:eastAsia="zh-CN"/>
        </w:rPr>
        <w:t>五</w:t>
      </w:r>
      <w:r>
        <w:rPr>
          <w:rFonts w:hint="eastAsia" w:ascii="仿宋_GB2312" w:eastAsia="仿宋_GB2312"/>
          <w:b/>
          <w:color w:val="auto"/>
          <w:sz w:val="32"/>
          <w:szCs w:val="32"/>
          <w:highlight w:val="none"/>
        </w:rPr>
        <w:t>）专项转移支付情况</w:t>
      </w:r>
      <w:bookmarkStart w:id="0" w:name="_GoBack"/>
      <w:bookmarkEnd w:id="0"/>
    </w:p>
    <w:p>
      <w:pPr>
        <w:ind w:firstLine="700" w:firstLineChars="219"/>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我单位暂无负责的专项转移支付项目。</w:t>
      </w:r>
    </w:p>
    <w:p>
      <w:pPr>
        <w:pStyle w:val="2"/>
        <w:rPr>
          <w:rFonts w:hint="eastAsia" w:ascii="黑体" w:hAnsi="宋体" w:eastAsia="黑体"/>
          <w:sz w:val="32"/>
          <w:szCs w:val="32"/>
        </w:rPr>
      </w:pPr>
    </w:p>
    <w:p>
      <w:pPr>
        <w:ind w:firstLine="709"/>
        <w:jc w:val="center"/>
        <w:rPr>
          <w:rFonts w:hint="eastAsia" w:ascii="黑体" w:hAnsi="宋体" w:eastAsia="黑体"/>
          <w:sz w:val="32"/>
          <w:szCs w:val="32"/>
        </w:rPr>
      </w:pPr>
      <w:r>
        <w:rPr>
          <w:rFonts w:hint="eastAsia" w:ascii="黑体" w:hAnsi="宋体" w:eastAsia="黑体"/>
          <w:sz w:val="32"/>
          <w:szCs w:val="32"/>
        </w:rPr>
        <w:t>第三部分 名词解释</w:t>
      </w:r>
    </w:p>
    <w:p>
      <w:pPr>
        <w:widowControl w:val="0"/>
        <w:wordWrap/>
        <w:adjustRightInd/>
        <w:snapToGrid/>
        <w:ind w:firstLine="709"/>
        <w:textAlignment w:val="auto"/>
        <w:outlineLvl w:val="9"/>
        <w:rPr>
          <w:rFonts w:hint="eastAsia" w:ascii="仿宋_GB2312" w:eastAsia="仿宋_GB2312"/>
          <w:sz w:val="32"/>
          <w:szCs w:val="32"/>
        </w:rPr>
      </w:pPr>
      <w:r>
        <w:rPr>
          <w:rFonts w:hint="eastAsia" w:ascii="仿宋_GB2312" w:eastAsia="仿宋_GB2312"/>
          <w:sz w:val="32"/>
          <w:szCs w:val="32"/>
        </w:rPr>
        <w:t>一、财政拨款收入：是指市级财政当年拨付的资金</w:t>
      </w:r>
      <w:r>
        <w:rPr>
          <w:rFonts w:hint="eastAsia" w:ascii="仿宋_GB2312" w:eastAsia="仿宋_GB2312"/>
          <w:sz w:val="32"/>
          <w:szCs w:val="32"/>
          <w:lang w:val="en-US" w:eastAsia="zh-CN"/>
        </w:rPr>
        <w:t>;包括一般公共预算财政拨款、政府性基金预算拨款、国有资本经营预算拨款</w:t>
      </w:r>
      <w:r>
        <w:rPr>
          <w:rFonts w:hint="eastAsia" w:ascii="仿宋_GB2312" w:eastAsia="仿宋_GB2312"/>
          <w:sz w:val="32"/>
          <w:szCs w:val="32"/>
        </w:rPr>
        <w:t>。</w:t>
      </w:r>
    </w:p>
    <w:p>
      <w:pPr>
        <w:widowControl w:val="0"/>
        <w:wordWrap/>
        <w:adjustRightInd/>
        <w:snapToGrid/>
        <w:ind w:firstLine="709"/>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二、财政专户管理资金：是指缴入财政专户、实行专项管理的高中以上学费、住宿费、高校委托培训费、函大、电大、夜大及短期培训费等教育收费。</w:t>
      </w:r>
    </w:p>
    <w:p>
      <w:pPr>
        <w:ind w:firstLine="709"/>
        <w:rPr>
          <w:rFonts w:hint="eastAsia" w:ascii="仿宋_GB2312" w:eastAsia="仿宋_GB2312"/>
          <w:sz w:val="32"/>
          <w:szCs w:val="32"/>
          <w:lang w:eastAsia="zh-CN"/>
        </w:rPr>
      </w:pPr>
      <w:r>
        <w:rPr>
          <w:rFonts w:hint="eastAsia" w:ascii="仿宋_GB2312" w:eastAsia="仿宋_GB2312"/>
          <w:sz w:val="32"/>
          <w:szCs w:val="32"/>
          <w:lang w:eastAsia="zh-CN"/>
        </w:rPr>
        <w:t>三</w:t>
      </w:r>
      <w:r>
        <w:rPr>
          <w:rFonts w:hint="eastAsia" w:ascii="仿宋_GB2312" w:eastAsia="仿宋_GB2312"/>
          <w:sz w:val="32"/>
          <w:szCs w:val="32"/>
        </w:rPr>
        <w:t>、事业收入：是指事业单位开展专业活动及辅助活动所取得的收入</w:t>
      </w:r>
      <w:r>
        <w:rPr>
          <w:rFonts w:hint="eastAsia" w:ascii="仿宋_GB2312" w:eastAsia="仿宋_GB2312"/>
          <w:sz w:val="32"/>
          <w:szCs w:val="32"/>
          <w:lang w:eastAsia="zh-CN"/>
        </w:rPr>
        <w:t>，不包括教育收费。</w:t>
      </w:r>
    </w:p>
    <w:p>
      <w:pPr>
        <w:ind w:firstLine="709"/>
        <w:rPr>
          <w:rFonts w:hint="eastAsia" w:ascii="仿宋_GB2312" w:eastAsia="仿宋_GB2312"/>
          <w:sz w:val="32"/>
          <w:szCs w:val="32"/>
          <w:lang w:eastAsia="zh-CN"/>
        </w:rPr>
      </w:pPr>
      <w:r>
        <w:rPr>
          <w:rFonts w:hint="eastAsia" w:ascii="仿宋_GB2312" w:eastAsia="仿宋_GB2312"/>
          <w:sz w:val="32"/>
          <w:szCs w:val="32"/>
          <w:lang w:eastAsia="zh-CN"/>
        </w:rPr>
        <w:t>四、事业单位经营收入：是指事业单位在专业业务活动及其辅助活动之外开展独立核算经营活动取得的收入。</w:t>
      </w:r>
    </w:p>
    <w:p>
      <w:pPr>
        <w:ind w:firstLine="709"/>
        <w:rPr>
          <w:rFonts w:ascii="仿宋_GB2312" w:eastAsia="仿宋_GB2312"/>
          <w:sz w:val="32"/>
          <w:szCs w:val="32"/>
        </w:rPr>
      </w:pPr>
      <w:r>
        <w:rPr>
          <w:rFonts w:hint="eastAsia" w:ascii="仿宋_GB2312" w:eastAsia="仿宋_GB2312"/>
          <w:sz w:val="32"/>
          <w:szCs w:val="32"/>
          <w:lang w:eastAsia="zh-CN"/>
        </w:rPr>
        <w:t>五</w:t>
      </w:r>
      <w:r>
        <w:rPr>
          <w:rFonts w:hint="eastAsia" w:ascii="仿宋_GB2312" w:eastAsia="仿宋_GB2312"/>
          <w:sz w:val="32"/>
          <w:szCs w:val="32"/>
        </w:rPr>
        <w:t>、其他收入：是指部门取得的除“财政拨款”、“事业收入”、“事业单位经营收入”等以外的收入。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lang w:eastAsia="zh-CN"/>
        </w:rPr>
        <w:t>六</w:t>
      </w:r>
      <w:r>
        <w:rPr>
          <w:rFonts w:hint="eastAsia" w:ascii="仿宋_GB2312" w:eastAsia="仿宋_GB2312"/>
          <w:sz w:val="32"/>
          <w:szCs w:val="32"/>
        </w:rPr>
        <w:t>、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lang w:eastAsia="zh-CN"/>
        </w:rPr>
        <w:t>七</w:t>
      </w:r>
      <w:r>
        <w:rPr>
          <w:rFonts w:hint="eastAsia" w:ascii="仿宋_GB2312" w:eastAsia="仿宋_GB2312"/>
          <w:sz w:val="32"/>
          <w:szCs w:val="32"/>
        </w:rPr>
        <w:t>、基本支出：是指为保障机构正常运转、完成日常工作任务所必需的开支，其内容包括人员经费和日常公用经费两部分。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lang w:eastAsia="zh-CN"/>
        </w:rPr>
        <w:t>八</w:t>
      </w:r>
      <w:r>
        <w:rPr>
          <w:rFonts w:hint="eastAsia" w:ascii="仿宋_GB2312" w:eastAsia="仿宋_GB2312"/>
          <w:sz w:val="32"/>
          <w:szCs w:val="32"/>
        </w:rPr>
        <w:t>、项目支出：是指在基本支出之外，为完成特定的行政工作任务或事业发展目标所发生的支出。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lang w:eastAsia="zh-CN"/>
        </w:rPr>
        <w:t>九</w:t>
      </w:r>
      <w:r>
        <w:rPr>
          <w:rFonts w:hint="eastAsia" w:ascii="仿宋_GB2312" w:eastAsia="仿宋_GB2312"/>
          <w:sz w:val="32"/>
          <w:szCs w:val="32"/>
        </w:rPr>
        <w:t>、“三公”经费：是指纳入本级财政预算管理，部门使用财政拨款安排的因公出国（境）费、公务用车购置及运行费和公务接待费。其中，因公出国（境）费反映单位公务出国（境）的住宿费、</w:t>
      </w:r>
      <w:r>
        <w:rPr>
          <w:rFonts w:hint="eastAsia" w:ascii="Times New Roman" w:hAnsi="Times New Roman" w:eastAsia="仿宋_GB2312" w:cs="仿宋_GB2312"/>
          <w:kern w:val="2"/>
          <w:sz w:val="32"/>
          <w:szCs w:val="32"/>
          <w:lang w:val="en-US" w:eastAsia="zh-CN"/>
        </w:rPr>
        <w:t>差</w:t>
      </w:r>
      <w:r>
        <w:rPr>
          <w:rFonts w:hint="eastAsia" w:ascii="仿宋_GB2312" w:eastAsia="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hint="eastAsia" w:ascii="仿宋_GB2312" w:eastAsia="仿宋_GB2312"/>
          <w:sz w:val="32"/>
          <w:szCs w:val="32"/>
        </w:rPr>
      </w:pPr>
      <w:r>
        <w:rPr>
          <w:rFonts w:hint="eastAsia" w:ascii="仿宋_GB2312" w:eastAsia="仿宋_GB2312"/>
          <w:sz w:val="32"/>
          <w:szCs w:val="32"/>
          <w:lang w:eastAsia="zh-CN"/>
        </w:rPr>
        <w:t>十</w:t>
      </w:r>
      <w:r>
        <w:rPr>
          <w:rFonts w:hint="eastAsia" w:ascii="仿宋_GB2312" w:eastAsia="仿宋_GB2312"/>
          <w:sz w:val="32"/>
          <w:szCs w:val="32"/>
        </w:rPr>
        <w:t>、</w:t>
      </w:r>
      <w:r>
        <w:rPr>
          <w:rFonts w:hint="eastAsia" w:ascii="仿宋_GB2312" w:eastAsia="仿宋_GB2312"/>
          <w:b w:val="0"/>
          <w:bCs/>
          <w:sz w:val="32"/>
          <w:szCs w:val="32"/>
          <w:lang w:eastAsia="zh-CN"/>
        </w:rPr>
        <w:t>行政（事业）单位机构运转经费情况</w:t>
      </w:r>
      <w:r>
        <w:rPr>
          <w:rFonts w:hint="eastAsia" w:ascii="仿宋_GB2312" w:eastAsia="仿宋_GB2312"/>
          <w:b w:val="0"/>
          <w:bCs/>
          <w:sz w:val="32"/>
          <w:szCs w:val="32"/>
        </w:rPr>
        <w:t>：</w:t>
      </w:r>
      <w:r>
        <w:rPr>
          <w:rFonts w:hint="eastAsia" w:ascii="仿宋_GB2312" w:eastAsia="仿宋_GB2312"/>
          <w:sz w:val="32"/>
          <w:szCs w:val="32"/>
        </w:rPr>
        <w:t>是指为保障单位（</w:t>
      </w:r>
      <w:r>
        <w:rPr>
          <w:rFonts w:hint="eastAsia" w:ascii="仿宋_GB2312" w:eastAsia="仿宋_GB2312"/>
          <w:sz w:val="32"/>
          <w:szCs w:val="32"/>
          <w:lang w:eastAsia="zh-CN"/>
        </w:rPr>
        <w:t>包括行政单位和事业单位</w:t>
      </w:r>
      <w:r>
        <w:rPr>
          <w:rFonts w:hint="eastAsia" w:ascii="仿宋_GB2312" w:eastAsia="仿宋_GB2312"/>
          <w:sz w:val="32"/>
          <w:szCs w:val="32"/>
        </w:rPr>
        <w:t>）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hint="eastAsia" w:ascii="仿宋_GB2312" w:eastAsia="仿宋_GB2312"/>
          <w:sz w:val="32"/>
          <w:szCs w:val="32"/>
        </w:rPr>
      </w:pPr>
    </w:p>
    <w:p>
      <w:pPr>
        <w:ind w:firstLine="426"/>
        <w:rPr>
          <w:rFonts w:ascii="仿宋_GB2312" w:eastAsia="仿宋_GB2312"/>
          <w:b/>
          <w:bCs/>
          <w:sz w:val="32"/>
          <w:szCs w:val="32"/>
        </w:rPr>
      </w:pPr>
      <w:r>
        <w:rPr>
          <w:rFonts w:hint="eastAsia" w:ascii="仿宋_GB2312" w:eastAsia="仿宋_GB2312"/>
          <w:b/>
          <w:bCs/>
          <w:sz w:val="32"/>
          <w:szCs w:val="32"/>
        </w:rPr>
        <w:t>附件：2021年度单位预算表</w:t>
      </w:r>
    </w:p>
    <w:p>
      <w:pPr>
        <w:snapToGrid w:val="0"/>
        <w:ind w:firstLine="426"/>
        <w:rPr>
          <w:rFonts w:ascii="仿宋_GB2312" w:eastAsia="仿宋_GB2312"/>
          <w:sz w:val="32"/>
          <w:szCs w:val="32"/>
        </w:rPr>
      </w:pPr>
      <w:r>
        <w:rPr>
          <w:rFonts w:hint="eastAsia" w:ascii="仿宋_GB2312" w:eastAsia="仿宋_GB2312"/>
          <w:sz w:val="32"/>
          <w:szCs w:val="32"/>
        </w:rPr>
        <w:t>一、单位收支总体情况表</w:t>
      </w:r>
    </w:p>
    <w:p>
      <w:pPr>
        <w:snapToGrid w:val="0"/>
        <w:ind w:firstLine="426"/>
        <w:rPr>
          <w:rFonts w:ascii="仿宋_GB2312" w:eastAsia="仿宋_GB2312"/>
          <w:sz w:val="32"/>
          <w:szCs w:val="32"/>
        </w:rPr>
      </w:pPr>
      <w:r>
        <w:rPr>
          <w:rFonts w:hint="eastAsia" w:ascii="仿宋_GB2312" w:eastAsia="仿宋_GB2312"/>
          <w:sz w:val="32"/>
          <w:szCs w:val="32"/>
        </w:rPr>
        <w:t>二、单位收入总体情况表</w:t>
      </w:r>
    </w:p>
    <w:p>
      <w:pPr>
        <w:snapToGrid w:val="0"/>
        <w:ind w:firstLine="426"/>
        <w:rPr>
          <w:rFonts w:ascii="仿宋_GB2312" w:eastAsia="仿宋_GB2312"/>
          <w:sz w:val="32"/>
          <w:szCs w:val="32"/>
        </w:rPr>
      </w:pPr>
      <w:r>
        <w:rPr>
          <w:rFonts w:hint="eastAsia" w:ascii="仿宋_GB2312" w:eastAsia="仿宋_GB2312"/>
          <w:sz w:val="32"/>
          <w:szCs w:val="32"/>
        </w:rPr>
        <w:t>三、单位支出总体情况表</w:t>
      </w:r>
    </w:p>
    <w:p>
      <w:pPr>
        <w:snapToGrid w:val="0"/>
        <w:ind w:firstLine="426"/>
        <w:rPr>
          <w:rFonts w:ascii="仿宋_GB2312" w:eastAsia="仿宋_GB2312"/>
          <w:sz w:val="32"/>
          <w:szCs w:val="32"/>
        </w:rPr>
      </w:pPr>
      <w:r>
        <w:rPr>
          <w:rFonts w:hint="eastAsia" w:ascii="仿宋_GB2312" w:eastAsia="仿宋_GB2312"/>
          <w:sz w:val="32"/>
          <w:szCs w:val="32"/>
        </w:rPr>
        <w:t>四、财政拨款收支总体情况表</w:t>
      </w:r>
    </w:p>
    <w:p>
      <w:pPr>
        <w:snapToGrid w:val="0"/>
        <w:ind w:firstLine="426"/>
        <w:rPr>
          <w:rFonts w:ascii="仿宋_GB2312" w:eastAsia="仿宋_GB2312"/>
          <w:sz w:val="32"/>
          <w:szCs w:val="32"/>
        </w:rPr>
      </w:pPr>
      <w:r>
        <w:rPr>
          <w:rFonts w:hint="eastAsia" w:ascii="仿宋_GB2312" w:eastAsia="仿宋_GB2312"/>
          <w:sz w:val="32"/>
          <w:szCs w:val="32"/>
        </w:rPr>
        <w:t>五、一般公共预算支出情况表</w:t>
      </w:r>
    </w:p>
    <w:p>
      <w:pPr>
        <w:snapToGrid w:val="0"/>
        <w:ind w:firstLine="426"/>
        <w:rPr>
          <w:rFonts w:ascii="仿宋_GB2312" w:eastAsia="仿宋_GB2312"/>
          <w:sz w:val="32"/>
          <w:szCs w:val="32"/>
        </w:rPr>
      </w:pPr>
      <w:r>
        <w:rPr>
          <w:rFonts w:hint="eastAsia" w:ascii="仿宋_GB2312" w:eastAsia="仿宋_GB2312"/>
          <w:sz w:val="32"/>
          <w:szCs w:val="32"/>
        </w:rPr>
        <w:t>六、一般公共预算基本支出情况表</w:t>
      </w:r>
    </w:p>
    <w:p>
      <w:pPr>
        <w:snapToGrid w:val="0"/>
        <w:ind w:firstLine="426"/>
        <w:rPr>
          <w:rFonts w:ascii="仿宋_GB2312" w:eastAsia="仿宋_GB2312"/>
          <w:sz w:val="32"/>
          <w:szCs w:val="32"/>
        </w:rPr>
      </w:pPr>
      <w:r>
        <w:rPr>
          <w:rFonts w:hint="eastAsia" w:ascii="仿宋_GB2312" w:eastAsia="仿宋_GB2312"/>
          <w:sz w:val="32"/>
          <w:szCs w:val="32"/>
        </w:rPr>
        <w:t>七、一般公共预算“三公”经费支出情况表</w:t>
      </w:r>
    </w:p>
    <w:p>
      <w:pPr>
        <w:snapToGrid w:val="0"/>
        <w:ind w:firstLine="426"/>
        <w:rPr>
          <w:rFonts w:ascii="仿宋_GB2312" w:hAnsi="宋体" w:eastAsia="仿宋_GB2312"/>
          <w:sz w:val="32"/>
          <w:szCs w:val="32"/>
        </w:rPr>
      </w:pPr>
      <w:r>
        <w:rPr>
          <w:rFonts w:hint="eastAsia" w:ascii="仿宋_GB2312" w:eastAsia="仿宋_GB2312"/>
          <w:sz w:val="32"/>
          <w:szCs w:val="32"/>
        </w:rPr>
        <w:t>八、政府性基金预算支出情况表</w:t>
      </w:r>
    </w:p>
    <w:p>
      <w:pPr>
        <w:snapToGrid w:val="0"/>
        <w:spacing w:line="360" w:lineRule="auto"/>
        <w:ind w:firstLine="425" w:firstLineChars="133"/>
        <w:rPr>
          <w:rFonts w:hint="eastAsia" w:ascii="仿宋_GB2312" w:hAnsi="宋体" w:eastAsia="仿宋_GB2312"/>
          <w:sz w:val="32"/>
          <w:szCs w:val="32"/>
        </w:rPr>
      </w:pPr>
      <w:r>
        <w:rPr>
          <w:rFonts w:hint="eastAsia" w:ascii="仿宋_GB2312" w:hAnsi="宋体" w:eastAsia="仿宋_GB2312"/>
          <w:sz w:val="32"/>
          <w:szCs w:val="32"/>
        </w:rPr>
        <w:t>九、支出经济分类汇总表</w:t>
      </w:r>
    </w:p>
    <w:p>
      <w:pPr>
        <w:widowControl w:val="0"/>
        <w:wordWrap/>
        <w:adjustRightInd/>
        <w:snapToGrid w:val="0"/>
        <w:ind w:firstLine="426"/>
        <w:jc w:val="both"/>
        <w:textAlignment w:val="auto"/>
        <w:outlineLvl w:val="9"/>
        <w:rPr>
          <w:rFonts w:hint="eastAsia" w:ascii="仿宋" w:hAnsi="仿宋" w:eastAsia="仿宋" w:cs="仿宋"/>
          <w:sz w:val="32"/>
          <w:szCs w:val="32"/>
          <w:lang w:eastAsia="zh-CN"/>
        </w:rPr>
      </w:pPr>
      <w:r>
        <w:rPr>
          <w:rFonts w:hint="eastAsia" w:ascii="仿宋" w:hAnsi="仿宋" w:eastAsia="仿宋" w:cs="仿宋"/>
          <w:kern w:val="2"/>
          <w:sz w:val="32"/>
          <w:szCs w:val="32"/>
          <w:lang w:val="en-US" w:eastAsia="zh-CN" w:bidi="ar-SA"/>
        </w:rPr>
        <w:object>
          <v:shape id="_x0000_i1025" o:spt="75" type="#_x0000_t75" style="height:65.25pt;width:72pt;" o:ole="t" fillcolor="#FFFFFF" filled="f" o:preferrelative="t" stroked="f" coordsize="21600,21600">
            <v:path/>
            <v:fill on="f" color2="#FFFFFF" focussize="0,0"/>
            <v:stroke on="f"/>
            <v:imagedata r:id="rId6" gain="65536f" blacklevel="0f" gamma="0" o:title=""/>
            <o:lock v:ext="edit" position="f" selection="f" grouping="f" rotation="f" cropping="f" text="f" aspectratio="t"/>
            <w10:wrap type="none"/>
            <w10:anchorlock/>
          </v:shape>
          <o:OLEObject Type="Embed" ProgID="Excel.Sheet.8" ShapeID="_x0000_i1025" DrawAspect="Icon" ObjectID="_1468075725" r:id="rId5">
            <o:LockedField>false</o:LockedField>
          </o:OLEObject>
        </w:objec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rnJj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mucmMMBAACPAwAADgAAAAAAAAABACAAAAAfAQAAZHJzL2Uyb0RvYy54bWxQ&#10;SwUGAAAAAAYABgBZAQAAVAU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8E665B"/>
    <w:multiLevelType w:val="singleLevel"/>
    <w:tmpl w:val="268E665B"/>
    <w:lvl w:ilvl="0" w:tentative="0">
      <w:start w:val="6"/>
      <w:numFmt w:val="chineseCounting"/>
      <w:suff w:val="nothing"/>
      <w:lvlText w:val="%1、"/>
      <w:lvlJc w:val="left"/>
      <w:rPr>
        <w:rFonts w:hint="eastAsia"/>
      </w:rPr>
    </w:lvl>
  </w:abstractNum>
  <w:abstractNum w:abstractNumId="1">
    <w:nsid w:val="630B5738"/>
    <w:multiLevelType w:val="singleLevel"/>
    <w:tmpl w:val="630B5738"/>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iMjZkOGRkMTkxZWQ1OTA3OWQxMDRkZDQ3YjEyZDkifQ=="/>
  </w:docVars>
  <w:rsids>
    <w:rsidRoot w:val="00000000"/>
    <w:rsid w:val="07C73013"/>
    <w:rsid w:val="0C376559"/>
    <w:rsid w:val="0EE81F53"/>
    <w:rsid w:val="0FB921C9"/>
    <w:rsid w:val="118376C9"/>
    <w:rsid w:val="1FCB1E28"/>
    <w:rsid w:val="256D352A"/>
    <w:rsid w:val="277F2E4A"/>
    <w:rsid w:val="2C0A53D6"/>
    <w:rsid w:val="30D73CF0"/>
    <w:rsid w:val="353549C2"/>
    <w:rsid w:val="4DAB5C8D"/>
    <w:rsid w:val="54294C20"/>
    <w:rsid w:val="5DE20477"/>
    <w:rsid w:val="6CB80AFD"/>
    <w:rsid w:val="7959466C"/>
    <w:rsid w:val="7B403BDC"/>
    <w:rsid w:val="7C574680"/>
    <w:rsid w:val="7FBB6B9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paragraph" w:customStyle="1" w:styleId="10">
    <w:name w:val="List Paragraph"/>
    <w:basedOn w:val="1"/>
    <w:qFormat/>
    <w:uiPriority w:val="34"/>
    <w:pPr>
      <w:ind w:firstLine="420"/>
    </w:pPr>
  </w:style>
  <w:style w:type="paragraph" w:customStyle="1" w:styleId="11">
    <w:name w:val="规范正文"/>
    <w:basedOn w:val="1"/>
    <w:qFormat/>
    <w:uiPriority w:val="0"/>
    <w:pPr>
      <w:widowControl w:val="0"/>
      <w:spacing w:line="360" w:lineRule="auto"/>
      <w:ind w:firstLine="560" w:firstLineChars="200"/>
      <w:jc w:val="both"/>
    </w:pPr>
    <w:rPr>
      <w:rFonts w:ascii="Times New Roman" w:hAnsi="Times New Roman" w:eastAsia="仿宋_GB2312" w:cs="Times New Roman"/>
      <w:sz w:val="28"/>
      <w:szCs w:val="28"/>
    </w:rPr>
  </w:style>
  <w:style w:type="character" w:customStyle="1" w:styleId="12">
    <w:name w:val="页眉 Char Char"/>
    <w:basedOn w:val="8"/>
    <w:link w:val="5"/>
    <w:qFormat/>
    <w:uiPriority w:val="99"/>
    <w:rPr>
      <w:sz w:val="18"/>
      <w:szCs w:val="18"/>
    </w:rPr>
  </w:style>
  <w:style w:type="character" w:customStyle="1" w:styleId="13">
    <w:name w:val="页脚 Char Char"/>
    <w:basedOn w:val="8"/>
    <w:link w:val="4"/>
    <w:qFormat/>
    <w:uiPriority w:val="99"/>
    <w:rPr>
      <w:sz w:val="18"/>
      <w:szCs w:val="18"/>
    </w:rPr>
  </w:style>
  <w:style w:type="character" w:customStyle="1" w:styleId="14">
    <w:name w:val="批注框文本 Char Char"/>
    <w:basedOn w:val="8"/>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Pages>
  <Words>2707</Words>
  <Characters>2893</Characters>
  <Lines>16</Lines>
  <Paragraphs>4</Paragraphs>
  <TotalTime>1</TotalTime>
  <ScaleCrop>false</ScaleCrop>
  <LinksUpToDate>false</LinksUpToDate>
  <CharactersWithSpaces>2923</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2019-09-16T03:24:00Z</dcterms:created>
  <dc:creator>null,null,总收发</dc:creator>
  <cp:lastModifiedBy>琳琳小不点儿</cp:lastModifiedBy>
  <cp:lastPrinted>2022-08-18T09:55:00Z</cp:lastPrinted>
  <dcterms:modified xsi:type="dcterms:W3CDTF">2022-09-08T10:17:13Z</dcterms:modified>
  <dc:title>2021年邓州市中医药管理局单位预算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7609F7D9A48641568B6028235829B62A</vt:lpwstr>
  </property>
</Properties>
</file>