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cs="Times New Roman"/>
          <w:spacing w:val="-11"/>
          <w:w w:val="90"/>
          <w:sz w:val="44"/>
          <w:szCs w:val="44"/>
        </w:rPr>
      </w:pPr>
      <w:r>
        <w:rPr>
          <w:rFonts w:ascii="方正小标宋简体" w:hAnsi="黑体" w:eastAsia="方正小标宋简体" w:cs="方正小标宋简体"/>
          <w:spacing w:val="-11"/>
          <w:w w:val="90"/>
          <w:sz w:val="44"/>
          <w:szCs w:val="44"/>
        </w:rPr>
        <w:t>2021</w:t>
      </w:r>
      <w:r>
        <w:rPr>
          <w:rFonts w:hint="eastAsia" w:ascii="方正小标宋简体" w:hAnsi="黑体" w:eastAsia="方正小标宋简体" w:cs="方正小标宋简体"/>
          <w:spacing w:val="-11"/>
          <w:w w:val="90"/>
          <w:sz w:val="44"/>
          <w:szCs w:val="44"/>
        </w:rPr>
        <w:t>年邓州市医疗保障局单位预算基本</w:t>
      </w:r>
    </w:p>
    <w:p>
      <w:pPr>
        <w:jc w:val="center"/>
        <w:rPr>
          <w:rFonts w:ascii="宋体" w:cs="Times New Roman"/>
          <w:b/>
          <w:bCs/>
          <w:sz w:val="28"/>
          <w:szCs w:val="28"/>
        </w:rPr>
      </w:pPr>
      <w:r>
        <w:rPr>
          <w:rFonts w:hint="eastAsia" w:ascii="方正小标宋简体" w:hAnsi="黑体" w:eastAsia="方正小标宋简体" w:cs="方正小标宋简体"/>
          <w:spacing w:val="-11"/>
          <w:w w:val="90"/>
          <w:sz w:val="44"/>
          <w:szCs w:val="44"/>
        </w:rPr>
        <w:t>情况说明</w:t>
      </w:r>
    </w:p>
    <w:p>
      <w:pPr>
        <w:jc w:val="center"/>
        <w:rPr>
          <w:rFonts w:ascii="黑体" w:hAnsi="宋体" w:eastAsia="黑体" w:cs="Times New Roman"/>
          <w:sz w:val="36"/>
          <w:szCs w:val="36"/>
        </w:rPr>
      </w:pPr>
      <w:r>
        <w:rPr>
          <w:rFonts w:hint="eastAsia" w:ascii="黑体" w:hAnsi="宋体" w:eastAsia="黑体" w:cs="黑体"/>
          <w:sz w:val="36"/>
          <w:szCs w:val="36"/>
        </w:rPr>
        <w:t>目</w:t>
      </w:r>
      <w:r>
        <w:rPr>
          <w:rFonts w:ascii="黑体" w:hAnsi="宋体" w:eastAsia="黑体" w:cs="黑体"/>
          <w:sz w:val="36"/>
          <w:szCs w:val="36"/>
        </w:rPr>
        <w:t xml:space="preserve">  </w:t>
      </w:r>
      <w:r>
        <w:rPr>
          <w:rFonts w:hint="eastAsia" w:ascii="黑体" w:hAnsi="宋体" w:eastAsia="黑体" w:cs="黑体"/>
          <w:sz w:val="36"/>
          <w:szCs w:val="36"/>
        </w:rPr>
        <w:t>录</w:t>
      </w:r>
    </w:p>
    <w:p>
      <w:pPr>
        <w:spacing w:beforeLines="100"/>
        <w:jc w:val="left"/>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邓州市医疗保障局概况</w:t>
      </w:r>
    </w:p>
    <w:p>
      <w:pPr>
        <w:pStyle w:val="7"/>
        <w:ind w:firstLine="640" w:firstLineChars="200"/>
        <w:jc w:val="left"/>
        <w:rPr>
          <w:rFonts w:ascii="仿宋_GB2312" w:hAnsi="宋体" w:eastAsia="仿宋_GB2312" w:cs="Times New Roman"/>
          <w:sz w:val="32"/>
          <w:szCs w:val="32"/>
        </w:rPr>
      </w:pPr>
      <w:r>
        <w:rPr>
          <w:rFonts w:hint="eastAsia" w:ascii="仿宋_GB2312" w:hAnsi="宋体" w:eastAsia="仿宋_GB2312" w:cs="仿宋_GB2312"/>
          <w:sz w:val="32"/>
          <w:szCs w:val="32"/>
        </w:rPr>
        <w:t>一、主要职责</w:t>
      </w:r>
    </w:p>
    <w:p>
      <w:pPr>
        <w:pStyle w:val="7"/>
        <w:ind w:firstLine="640" w:firstLineChars="200"/>
        <w:jc w:val="left"/>
        <w:rPr>
          <w:rFonts w:ascii="仿宋_GB2312" w:hAnsi="宋体" w:eastAsia="仿宋_GB2312" w:cs="Times New Roman"/>
          <w:sz w:val="32"/>
          <w:szCs w:val="32"/>
        </w:rPr>
      </w:pPr>
      <w:r>
        <w:rPr>
          <w:rFonts w:hint="eastAsia" w:ascii="仿宋_GB2312" w:hAnsi="宋体" w:eastAsia="仿宋_GB2312" w:cs="仿宋_GB2312"/>
          <w:sz w:val="32"/>
          <w:szCs w:val="32"/>
        </w:rPr>
        <w:t>二、预算单位构成情况</w:t>
      </w:r>
    </w:p>
    <w:p>
      <w:pPr>
        <w:jc w:val="left"/>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邓州市医疗保障局</w:t>
      </w:r>
      <w:r>
        <w:rPr>
          <w:rFonts w:ascii="黑体" w:hAnsi="宋体" w:eastAsia="黑体" w:cs="黑体"/>
          <w:sz w:val="32"/>
          <w:szCs w:val="32"/>
        </w:rPr>
        <w:t>2021</w:t>
      </w:r>
      <w:r>
        <w:rPr>
          <w:rFonts w:hint="eastAsia" w:ascii="黑体" w:hAnsi="宋体" w:eastAsia="黑体" w:cs="黑体"/>
          <w:sz w:val="32"/>
          <w:szCs w:val="32"/>
        </w:rPr>
        <w:t>年单位预算情况说明</w:t>
      </w:r>
    </w:p>
    <w:p>
      <w:pPr>
        <w:jc w:val="left"/>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仿宋_GB2312" w:hAnsi="宋体" w:eastAsia="仿宋_GB2312" w:cs="Times New Roman"/>
          <w:sz w:val="32"/>
          <w:szCs w:val="32"/>
        </w:rPr>
      </w:pPr>
      <w:r>
        <w:rPr>
          <w:rFonts w:hint="eastAsia" w:ascii="黑体" w:hAnsi="宋体" w:eastAsia="黑体" w:cs="黑体"/>
          <w:sz w:val="32"/>
          <w:szCs w:val="32"/>
        </w:rPr>
        <w:t>附件</w:t>
      </w:r>
      <w:r>
        <w:rPr>
          <w:rFonts w:hint="eastAsia" w:ascii="仿宋_GB2312" w:hAnsi="宋体" w:eastAsia="仿宋_GB2312" w:cs="仿宋_GB2312"/>
          <w:sz w:val="32"/>
          <w:szCs w:val="32"/>
        </w:rPr>
        <w:t>：</w:t>
      </w:r>
      <w:r>
        <w:rPr>
          <w:rFonts w:ascii="仿宋_GB2312" w:hAnsi="宋体" w:eastAsia="仿宋_GB2312" w:cs="仿宋_GB2312"/>
          <w:sz w:val="32"/>
          <w:szCs w:val="32"/>
        </w:rPr>
        <w:t>2021</w:t>
      </w:r>
      <w:r>
        <w:rPr>
          <w:rFonts w:hint="eastAsia" w:ascii="仿宋_GB2312" w:hAnsi="宋体" w:eastAsia="仿宋_GB2312" w:cs="仿宋_GB2312"/>
          <w:sz w:val="32"/>
          <w:szCs w:val="32"/>
        </w:rPr>
        <w:t>年度单位预算表</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一、单位收支总体情况表</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二、单位收入总体情况表</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三、单位支出总体情况表</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四、财政拨款收支总体情况表</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五、一般公共预算支出情况表</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六、一般公共预算基本支出情况表</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七、一般公共预算“三公”经费支出情况表</w:t>
      </w:r>
    </w:p>
    <w:p>
      <w:pPr>
        <w:snapToGrid w:val="0"/>
        <w:spacing w:line="360" w:lineRule="auto"/>
        <w:ind w:firstLine="640" w:firstLineChars="200"/>
        <w:rPr>
          <w:rFonts w:ascii="仿宋_GB2312" w:hAnsi="宋体" w:eastAsia="仿宋_GB2312" w:cs="Times New Roman"/>
          <w:sz w:val="28"/>
          <w:szCs w:val="28"/>
        </w:rPr>
      </w:pPr>
      <w:r>
        <w:rPr>
          <w:rFonts w:hint="eastAsia" w:ascii="仿宋_GB2312" w:hAnsi="宋体" w:eastAsia="仿宋_GB2312" w:cs="仿宋_GB2312"/>
          <w:sz w:val="32"/>
          <w:szCs w:val="32"/>
        </w:rPr>
        <w:t>八、政府性基金预算支出情况表</w:t>
      </w:r>
    </w:p>
    <w:p>
      <w:pPr>
        <w:snapToGrid w:val="0"/>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九、支出经济分类汇总表</w:t>
      </w:r>
    </w:p>
    <w:p>
      <w:pPr>
        <w:snapToGrid w:val="0"/>
        <w:spacing w:line="360" w:lineRule="auto"/>
        <w:ind w:firstLine="372" w:firstLineChars="133"/>
        <w:rPr>
          <w:rFonts w:ascii="仿宋_GB2312" w:hAnsi="宋体" w:eastAsia="仿宋_GB2312" w:cs="Times New Roman"/>
          <w:sz w:val="28"/>
          <w:szCs w:val="28"/>
        </w:rPr>
      </w:pPr>
    </w:p>
    <w:p>
      <w:pPr>
        <w:ind w:firstLine="427" w:firstLineChars="133"/>
        <w:rPr>
          <w:rFonts w:ascii="仿宋_GB2312" w:hAnsi="宋体" w:eastAsia="仿宋_GB2312" w:cs="Times New Roman"/>
          <w:b/>
          <w:bCs/>
          <w:sz w:val="32"/>
          <w:szCs w:val="32"/>
        </w:rPr>
      </w:pPr>
      <w:r>
        <w:rPr>
          <w:rFonts w:ascii="仿宋_GB2312" w:hAnsi="宋体" w:eastAsia="仿宋_GB2312" w:cs="Times New Roman"/>
          <w:b/>
          <w:bCs/>
          <w:sz w:val="32"/>
          <w:szCs w:val="32"/>
        </w:rPr>
        <w:br w:type="page"/>
      </w:r>
    </w:p>
    <w:p>
      <w:pPr>
        <w:jc w:val="center"/>
        <w:rPr>
          <w:rFonts w:ascii="黑体" w:hAnsi="宋体" w:eastAsia="黑体" w:cs="Times New Roman"/>
          <w:sz w:val="32"/>
          <w:szCs w:val="32"/>
        </w:rPr>
      </w:pPr>
      <w:r>
        <w:rPr>
          <w:rFonts w:hint="eastAsia" w:ascii="黑体" w:hAnsi="宋体" w:eastAsia="黑体" w:cs="黑体"/>
          <w:sz w:val="32"/>
          <w:szCs w:val="32"/>
        </w:rPr>
        <w:t>第一部分</w:t>
      </w:r>
    </w:p>
    <w:p>
      <w:pPr>
        <w:jc w:val="center"/>
        <w:rPr>
          <w:rFonts w:ascii="仿宋_GB2312" w:eastAsia="仿宋_GB2312" w:cs="Times New Roman"/>
          <w:b/>
          <w:bCs/>
          <w:sz w:val="32"/>
          <w:szCs w:val="32"/>
        </w:rPr>
      </w:pPr>
      <w:r>
        <w:rPr>
          <w:rFonts w:hint="eastAsia" w:ascii="黑体" w:hAnsi="宋体" w:eastAsia="黑体" w:cs="黑体"/>
          <w:sz w:val="32"/>
          <w:szCs w:val="32"/>
        </w:rPr>
        <w:t>邓州市医疗保障局概况</w:t>
      </w:r>
    </w:p>
    <w:p>
      <w:pPr>
        <w:ind w:firstLine="569" w:firstLineChars="177"/>
        <w:rPr>
          <w:rFonts w:ascii="仿宋_GB2312" w:eastAsia="仿宋_GB2312" w:cs="Times New Roman"/>
          <w:b/>
          <w:bCs/>
          <w:sz w:val="32"/>
          <w:szCs w:val="32"/>
        </w:rPr>
      </w:pPr>
      <w:r>
        <w:rPr>
          <w:rFonts w:hint="eastAsia" w:ascii="仿宋_GB2312" w:eastAsia="仿宋_GB2312" w:cs="仿宋_GB2312"/>
          <w:b/>
          <w:bCs/>
          <w:sz w:val="32"/>
          <w:szCs w:val="32"/>
        </w:rPr>
        <w:t>一、主要职责</w:t>
      </w:r>
    </w:p>
    <w:p>
      <w:pPr>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（一）组织实施医疗保险、生育保险、离休人员医疗保障、移交政府安置的军队离退休干部医疗保障、医疗救助等医疗保障制度的法律法规、规章、政策、规划和标准。</w:t>
      </w:r>
    </w:p>
    <w:p>
      <w:pPr>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（二）组织实施医疗保障基金监督管理办法，建立健全医疗保障基金安全防控机制，推进医疗保障基金支付方式改革。</w:t>
      </w:r>
    </w:p>
    <w:p>
      <w:pPr>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（三）贯彻落实医疗保障筹资和待遇政策，完善动态调整和区域调剂平衡机制，统筹城乡医疗保障待遇标准，建立健全与筹资水平相适应的待遇调整机制。推进长期护理保险制度改革。</w:t>
      </w:r>
    </w:p>
    <w:p>
      <w:pPr>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（四）贯彻落实城乡统一的药品、医用耗材、医疗服务项目、医疗服务设施等医保目录和支付标准，建立动态调整机制，组织实施医保目录准入谈判规则。</w:t>
      </w:r>
    </w:p>
    <w:p>
      <w:pPr>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五）贯彻落实药品、医用耗材价格和医疗服务项目、医疗服务设施收费等政策，落实医保支付医药服务价格合理确定和动态调整机制，建立价格信息监测和信息发布制度，推动建立市场主导的社会医药服务价格形成机制。</w:t>
      </w:r>
    </w:p>
    <w:p>
      <w:pPr>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（六）贯彻落实药品、医用耗材的招标采购政策。</w:t>
      </w:r>
    </w:p>
    <w:p>
      <w:pPr>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（七）拟订全市定点医药机构协议和支付管理办法并组织实施，建立健全医疗保障信用评价体系和信息披露制度，</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监督管理纳入医保范围内的医疗服务行为和医疗费用，依法查处医疗保障领域违法违规行为。</w:t>
      </w:r>
    </w:p>
    <w:p>
      <w:pPr>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（八）负责全市医疗保障经办管理、公共服务体系和信息化建设。组织拟订和完善异地就医管理和费用结算政策性措施。建立健全医疗保障关系转移接续制度。</w:t>
      </w:r>
    </w:p>
    <w:p>
      <w:pPr>
        <w:ind w:firstLine="640" w:firstLineChars="200"/>
        <w:rPr>
          <w:rFonts w:ascii="仿宋_GB2312" w:eastAsia="仿宋_GB2312" w:cs="Times New Roman"/>
          <w:sz w:val="32"/>
          <w:szCs w:val="32"/>
        </w:rPr>
      </w:pPr>
      <w:r>
        <w:rPr>
          <w:rFonts w:hint="eastAsia" w:ascii="仿宋_GB2312" w:hAnsi="仿宋" w:eastAsia="仿宋_GB2312" w:cs="仿宋_GB2312"/>
          <w:sz w:val="32"/>
          <w:szCs w:val="32"/>
        </w:rPr>
        <w:t>（九）完成市委、市政府交办的其他任务。</w:t>
      </w:r>
    </w:p>
    <w:p>
      <w:pPr>
        <w:ind w:firstLine="569" w:firstLineChars="177"/>
        <w:rPr>
          <w:rFonts w:ascii="仿宋_GB2312" w:eastAsia="仿宋_GB2312" w:cs="Times New Roman"/>
          <w:b/>
          <w:bCs/>
          <w:sz w:val="32"/>
          <w:szCs w:val="32"/>
        </w:rPr>
      </w:pPr>
      <w:r>
        <w:rPr>
          <w:rFonts w:hint="eastAsia" w:ascii="仿宋_GB2312" w:eastAsia="仿宋_GB2312" w:cs="仿宋_GB2312"/>
          <w:b/>
          <w:bCs/>
          <w:sz w:val="32"/>
          <w:szCs w:val="32"/>
        </w:rPr>
        <w:t>二、单位预算构成情况</w:t>
      </w:r>
    </w:p>
    <w:p>
      <w:pPr>
        <w:ind w:firstLine="566" w:firstLineChars="177"/>
        <w:rPr>
          <w:rFonts w:ascii="仿宋_GB2312" w:eastAsia="仿宋_GB2312" w:cs="Times New Roman"/>
          <w:sz w:val="32"/>
          <w:szCs w:val="32"/>
        </w:rPr>
      </w:pPr>
      <w:r>
        <w:rPr>
          <w:rFonts w:hint="eastAsia" w:ascii="仿宋_GB2312" w:eastAsia="仿宋_GB2312" w:cs="仿宋_GB2312"/>
          <w:sz w:val="32"/>
          <w:szCs w:val="32"/>
        </w:rPr>
        <w:t>邓州市医疗保障局单位预算包括：办公室、基金监管科、待遇保障科、医药服务科、法规和规划财务科等内设科室的预算。</w:t>
      </w:r>
    </w:p>
    <w:p>
      <w:pPr>
        <w:jc w:val="center"/>
        <w:rPr>
          <w:rFonts w:ascii="黑体" w:hAnsi="宋体" w:eastAsia="黑体" w:cs="Times New Roman"/>
          <w:sz w:val="32"/>
          <w:szCs w:val="32"/>
        </w:rPr>
      </w:pPr>
      <w:r>
        <w:rPr>
          <w:rFonts w:hint="eastAsia" w:ascii="黑体" w:hAnsi="宋体" w:eastAsia="黑体" w:cs="黑体"/>
          <w:sz w:val="32"/>
          <w:szCs w:val="32"/>
        </w:rPr>
        <w:t>第二部分</w:t>
      </w:r>
    </w:p>
    <w:p>
      <w:pPr>
        <w:jc w:val="center"/>
        <w:rPr>
          <w:rFonts w:ascii="黑体" w:hAnsi="宋体" w:eastAsia="黑体" w:cs="Times New Roman"/>
          <w:sz w:val="32"/>
          <w:szCs w:val="32"/>
        </w:rPr>
      </w:pPr>
      <w:r>
        <w:rPr>
          <w:rFonts w:hint="eastAsia" w:ascii="黑体" w:hAnsi="宋体" w:eastAsia="黑体" w:cs="黑体"/>
          <w:sz w:val="32"/>
          <w:szCs w:val="32"/>
        </w:rPr>
        <w:t>邓州市医疗保障局</w:t>
      </w:r>
      <w:r>
        <w:rPr>
          <w:rFonts w:ascii="黑体" w:hAnsi="宋体" w:eastAsia="黑体" w:cs="黑体"/>
          <w:sz w:val="32"/>
          <w:szCs w:val="32"/>
        </w:rPr>
        <w:t>2021</w:t>
      </w:r>
      <w:r>
        <w:rPr>
          <w:rFonts w:hint="eastAsia" w:ascii="黑体" w:hAnsi="宋体" w:eastAsia="黑体" w:cs="黑体"/>
          <w:sz w:val="32"/>
          <w:szCs w:val="32"/>
        </w:rPr>
        <w:t>年单位预算情况说明</w:t>
      </w:r>
    </w:p>
    <w:p>
      <w:pPr>
        <w:spacing w:beforeLines="100"/>
        <w:ind w:firstLine="709"/>
        <w:rPr>
          <w:rFonts w:ascii="黑体" w:eastAsia="黑体" w:cs="Times New Roman"/>
          <w:sz w:val="32"/>
          <w:szCs w:val="32"/>
        </w:rPr>
      </w:pPr>
      <w:r>
        <w:rPr>
          <w:rFonts w:hint="eastAsia" w:ascii="黑体" w:eastAsia="黑体" w:cs="黑体"/>
          <w:sz w:val="32"/>
          <w:szCs w:val="32"/>
        </w:rPr>
        <w:t>一、收入支出预算总体情况说明</w:t>
      </w:r>
    </w:p>
    <w:p>
      <w:pPr>
        <w:ind w:firstLine="640" w:firstLineChars="200"/>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年收入总计</w:t>
      </w:r>
      <w:r>
        <w:rPr>
          <w:rFonts w:ascii="仿宋_GB2312" w:eastAsia="仿宋_GB2312" w:cs="仿宋_GB2312"/>
          <w:sz w:val="32"/>
          <w:szCs w:val="32"/>
        </w:rPr>
        <w:t>1474.3</w:t>
      </w:r>
      <w:r>
        <w:rPr>
          <w:rFonts w:hint="eastAsia" w:ascii="仿宋_GB2312" w:eastAsia="仿宋_GB2312" w:cs="仿宋_GB2312"/>
          <w:sz w:val="32"/>
          <w:szCs w:val="32"/>
        </w:rPr>
        <w:t>万元，支出总计</w:t>
      </w:r>
      <w:r>
        <w:rPr>
          <w:rFonts w:ascii="仿宋_GB2312" w:eastAsia="仿宋_GB2312" w:cs="仿宋_GB2312"/>
          <w:sz w:val="32"/>
          <w:szCs w:val="32"/>
        </w:rPr>
        <w:t>1474.3</w:t>
      </w:r>
      <w:r>
        <w:rPr>
          <w:rFonts w:hint="eastAsia" w:ascii="仿宋_GB2312" w:eastAsia="仿宋_GB2312" w:cs="仿宋_GB2312"/>
          <w:sz w:val="32"/>
          <w:szCs w:val="32"/>
        </w:rPr>
        <w:t>万元，与</w:t>
      </w:r>
      <w:r>
        <w:rPr>
          <w:rFonts w:ascii="仿宋_GB2312" w:eastAsia="仿宋_GB2312" w:cs="仿宋_GB2312"/>
          <w:sz w:val="32"/>
          <w:szCs w:val="32"/>
        </w:rPr>
        <w:t>2020</w:t>
      </w:r>
      <w:r>
        <w:rPr>
          <w:rFonts w:hint="eastAsia" w:ascii="仿宋_GB2312" w:eastAsia="仿宋_GB2312" w:cs="仿宋_GB2312"/>
          <w:sz w:val="32"/>
          <w:szCs w:val="32"/>
        </w:rPr>
        <w:t>年相比，收入、支出各</w:t>
      </w:r>
      <w:r>
        <w:rPr>
          <w:rFonts w:hint="eastAsia" w:ascii="仿宋_GB2312" w:eastAsia="仿宋_GB2312" w:cs="仿宋_GB2312"/>
          <w:color w:val="000000"/>
          <w:sz w:val="32"/>
          <w:szCs w:val="32"/>
        </w:rPr>
        <w:t>降低</w:t>
      </w:r>
      <w:r>
        <w:rPr>
          <w:rFonts w:ascii="仿宋_GB2312" w:eastAsia="仿宋_GB2312" w:cs="仿宋_GB2312"/>
          <w:color w:val="000000"/>
          <w:sz w:val="32"/>
          <w:szCs w:val="32"/>
        </w:rPr>
        <w:t>1400.71</w:t>
      </w:r>
      <w:r>
        <w:rPr>
          <w:rFonts w:hint="eastAsia" w:ascii="仿宋_GB2312" w:eastAsia="仿宋_GB2312" w:cs="仿宋_GB2312"/>
          <w:sz w:val="32"/>
          <w:szCs w:val="32"/>
        </w:rPr>
        <w:t>万元。主要原因是：城乡医疗救助资金减少</w:t>
      </w:r>
      <w:r>
        <w:rPr>
          <w:rFonts w:hint="eastAsia" w:eastAsia="仿宋_GB2312" w:cs="仿宋_GB2312"/>
          <w:sz w:val="32"/>
          <w:szCs w:val="32"/>
        </w:rPr>
        <w:t>。</w:t>
      </w:r>
    </w:p>
    <w:p>
      <w:pPr>
        <w:ind w:firstLine="567"/>
        <w:rPr>
          <w:rFonts w:ascii="黑体" w:eastAsia="黑体" w:cs="Times New Roman"/>
          <w:sz w:val="32"/>
          <w:szCs w:val="32"/>
        </w:rPr>
      </w:pPr>
      <w:r>
        <w:rPr>
          <w:rFonts w:hint="eastAsia" w:ascii="黑体" w:eastAsia="黑体" w:cs="黑体"/>
          <w:sz w:val="32"/>
          <w:szCs w:val="32"/>
        </w:rPr>
        <w:t>二、收入预算总体情况说明</w:t>
      </w:r>
    </w:p>
    <w:p>
      <w:pPr>
        <w:ind w:firstLine="707" w:firstLineChars="221"/>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年收入预算</w:t>
      </w:r>
      <w:r>
        <w:rPr>
          <w:rFonts w:ascii="仿宋_GB2312" w:eastAsia="仿宋_GB2312" w:cs="仿宋_GB2312"/>
          <w:sz w:val="32"/>
          <w:szCs w:val="32"/>
        </w:rPr>
        <w:t>1474.3</w:t>
      </w:r>
      <w:r>
        <w:rPr>
          <w:rFonts w:hint="eastAsia" w:ascii="仿宋_GB2312" w:eastAsia="仿宋_GB2312" w:cs="仿宋_GB2312"/>
          <w:sz w:val="32"/>
          <w:szCs w:val="32"/>
        </w:rPr>
        <w:t>万元，其中：</w:t>
      </w:r>
      <w:r>
        <w:rPr>
          <w:rFonts w:hint="eastAsia" w:eastAsia="仿宋_GB2312" w:cs="仿宋_GB2312"/>
          <w:sz w:val="32"/>
          <w:szCs w:val="32"/>
        </w:rPr>
        <w:t>一般公共预算收入</w:t>
      </w:r>
      <w:r>
        <w:rPr>
          <w:rFonts w:ascii="仿宋_GB2312" w:eastAsia="仿宋_GB2312" w:cs="仿宋_GB2312"/>
          <w:sz w:val="32"/>
          <w:szCs w:val="32"/>
        </w:rPr>
        <w:t>77.3</w:t>
      </w:r>
      <w:r>
        <w:rPr>
          <w:rFonts w:hint="eastAsia" w:ascii="仿宋_GB2312" w:eastAsia="仿宋_GB2312" w:cs="仿宋_GB2312"/>
          <w:sz w:val="32"/>
          <w:szCs w:val="32"/>
        </w:rPr>
        <w:t>万元，政府性基金收入</w:t>
      </w:r>
      <w:r>
        <w:rPr>
          <w:rFonts w:ascii="仿宋_GB2312" w:eastAsia="仿宋_GB2312" w:cs="仿宋_GB2312"/>
          <w:sz w:val="32"/>
          <w:szCs w:val="32"/>
        </w:rPr>
        <w:t>51</w:t>
      </w:r>
      <w:r>
        <w:rPr>
          <w:rFonts w:hint="eastAsia" w:ascii="仿宋_GB2312" w:eastAsia="仿宋_GB2312" w:cs="仿宋_GB2312"/>
          <w:sz w:val="32"/>
          <w:szCs w:val="32"/>
        </w:rPr>
        <w:t>万元，国有资本经营预算收入</w:t>
      </w:r>
      <w:r>
        <w:rPr>
          <w:rFonts w:ascii="仿宋_GB2312" w:eastAsia="仿宋_GB2312" w:cs="仿宋_GB2312"/>
          <w:sz w:val="32"/>
          <w:szCs w:val="32"/>
        </w:rPr>
        <w:t>0</w:t>
      </w:r>
      <w:r>
        <w:rPr>
          <w:rFonts w:hint="eastAsia" w:ascii="仿宋_GB2312" w:eastAsia="仿宋_GB2312" w:cs="仿宋_GB2312"/>
          <w:sz w:val="32"/>
          <w:szCs w:val="32"/>
        </w:rPr>
        <w:t>万元，财政专户管理资金收入</w:t>
      </w:r>
      <w:r>
        <w:rPr>
          <w:rFonts w:ascii="仿宋_GB2312" w:eastAsia="仿宋_GB2312" w:cs="仿宋_GB2312"/>
          <w:sz w:val="32"/>
          <w:szCs w:val="32"/>
        </w:rPr>
        <w:t>0</w:t>
      </w:r>
      <w:r>
        <w:rPr>
          <w:rFonts w:hint="eastAsia" w:ascii="仿宋_GB2312" w:eastAsia="仿宋_GB2312" w:cs="仿宋_GB2312"/>
          <w:sz w:val="32"/>
          <w:szCs w:val="32"/>
        </w:rPr>
        <w:t>万元。</w:t>
      </w:r>
    </w:p>
    <w:p>
      <w:pPr>
        <w:ind w:firstLine="709"/>
        <w:rPr>
          <w:rFonts w:ascii="黑体" w:eastAsia="黑体" w:cs="Times New Roman"/>
          <w:sz w:val="32"/>
          <w:szCs w:val="32"/>
        </w:rPr>
      </w:pPr>
      <w:r>
        <w:rPr>
          <w:rFonts w:hint="eastAsia" w:ascii="黑体" w:eastAsia="黑体" w:cs="黑体"/>
          <w:sz w:val="32"/>
          <w:szCs w:val="32"/>
        </w:rPr>
        <w:t>三、支出预算总体情况说明</w:t>
      </w:r>
    </w:p>
    <w:p>
      <w:pPr>
        <w:ind w:firstLine="709"/>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年支出预算</w:t>
      </w:r>
      <w:r>
        <w:rPr>
          <w:rFonts w:ascii="仿宋_GB2312" w:eastAsia="仿宋_GB2312" w:cs="仿宋_GB2312"/>
          <w:sz w:val="32"/>
          <w:szCs w:val="32"/>
        </w:rPr>
        <w:t>1474.3</w:t>
      </w:r>
      <w:r>
        <w:rPr>
          <w:rFonts w:hint="eastAsia" w:ascii="仿宋_GB2312" w:eastAsia="仿宋_GB2312" w:cs="仿宋_GB2312"/>
          <w:sz w:val="32"/>
          <w:szCs w:val="32"/>
        </w:rPr>
        <w:t>万元，其中：基本支出</w:t>
      </w:r>
      <w:r>
        <w:rPr>
          <w:rFonts w:ascii="仿宋_GB2312" w:eastAsia="仿宋_GB2312" w:cs="仿宋_GB2312"/>
          <w:sz w:val="32"/>
          <w:szCs w:val="32"/>
        </w:rPr>
        <w:t>47.3</w:t>
      </w:r>
      <w:r>
        <w:rPr>
          <w:rFonts w:hint="eastAsia" w:ascii="仿宋_GB2312" w:eastAsia="仿宋_GB2312" w:cs="仿宋_GB2312"/>
          <w:sz w:val="32"/>
          <w:szCs w:val="32"/>
        </w:rPr>
        <w:t>万元，占年度计划的</w:t>
      </w:r>
      <w:r>
        <w:rPr>
          <w:rFonts w:ascii="仿宋_GB2312" w:eastAsia="仿宋_GB2312" w:cs="仿宋_GB2312"/>
          <w:sz w:val="32"/>
          <w:szCs w:val="32"/>
        </w:rPr>
        <w:t>3.21%</w:t>
      </w:r>
      <w:r>
        <w:rPr>
          <w:rFonts w:hint="eastAsia" w:ascii="仿宋_GB2312" w:eastAsia="仿宋_GB2312" w:cs="仿宋_GB2312"/>
          <w:sz w:val="32"/>
          <w:szCs w:val="32"/>
        </w:rPr>
        <w:t>；项目支出</w:t>
      </w:r>
      <w:r>
        <w:rPr>
          <w:rFonts w:ascii="仿宋_GB2312" w:eastAsia="仿宋_GB2312" w:cs="仿宋_GB2312"/>
          <w:sz w:val="32"/>
          <w:szCs w:val="32"/>
        </w:rPr>
        <w:t>1427</w:t>
      </w:r>
      <w:r>
        <w:rPr>
          <w:rFonts w:hint="eastAsia" w:ascii="仿宋_GB2312" w:eastAsia="仿宋_GB2312" w:cs="仿宋_GB2312"/>
          <w:sz w:val="32"/>
          <w:szCs w:val="32"/>
        </w:rPr>
        <w:t>万元，占年度计划的</w:t>
      </w:r>
      <w:r>
        <w:rPr>
          <w:rFonts w:ascii="仿宋_GB2312" w:eastAsia="仿宋_GB2312" w:cs="仿宋_GB2312"/>
          <w:sz w:val="32"/>
          <w:szCs w:val="32"/>
        </w:rPr>
        <w:t>96.79%</w:t>
      </w:r>
      <w:r>
        <w:rPr>
          <w:rFonts w:hint="eastAsia" w:ascii="仿宋_GB2312" w:eastAsia="仿宋_GB2312" w:cs="仿宋_GB2312"/>
          <w:sz w:val="32"/>
          <w:szCs w:val="32"/>
        </w:rPr>
        <w:t>。</w:t>
      </w:r>
    </w:p>
    <w:p>
      <w:pPr>
        <w:ind w:firstLine="640" w:firstLineChars="200"/>
        <w:rPr>
          <w:rFonts w:ascii="黑体" w:hAnsi="黑体" w:eastAsia="黑体" w:cs="Times New Roman"/>
          <w:sz w:val="32"/>
          <w:szCs w:val="32"/>
        </w:rPr>
      </w:pPr>
      <w:r>
        <w:rPr>
          <w:rFonts w:hint="eastAsia" w:ascii="黑体" w:hAnsi="黑体" w:eastAsia="黑体" w:cs="黑体"/>
          <w:sz w:val="32"/>
          <w:szCs w:val="32"/>
        </w:rPr>
        <w:t>四、财政拨款收支预算总体情况说明</w:t>
      </w:r>
    </w:p>
    <w:p>
      <w:pPr>
        <w:ind w:firstLine="640" w:firstLineChars="200"/>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年一般公共预算收支预算</w:t>
      </w:r>
      <w:r>
        <w:rPr>
          <w:rFonts w:ascii="仿宋_GB2312" w:eastAsia="仿宋_GB2312" w:cs="仿宋_GB2312"/>
          <w:sz w:val="32"/>
          <w:szCs w:val="32"/>
        </w:rPr>
        <w:t>77.3</w:t>
      </w:r>
      <w:r>
        <w:rPr>
          <w:rFonts w:hint="eastAsia" w:ascii="仿宋_GB2312" w:eastAsia="仿宋_GB2312" w:cs="仿宋_GB2312"/>
          <w:sz w:val="32"/>
          <w:szCs w:val="32"/>
        </w:rPr>
        <w:t>万元，政府性基金收支预算</w:t>
      </w:r>
      <w:r>
        <w:rPr>
          <w:rFonts w:ascii="仿宋_GB2312" w:eastAsia="仿宋_GB2312" w:cs="仿宋_GB2312"/>
          <w:sz w:val="32"/>
          <w:szCs w:val="32"/>
        </w:rPr>
        <w:t>51</w:t>
      </w:r>
      <w:r>
        <w:rPr>
          <w:rFonts w:hint="eastAsia" w:ascii="仿宋_GB2312" w:eastAsia="仿宋_GB2312" w:cs="仿宋_GB2312"/>
          <w:sz w:val="32"/>
          <w:szCs w:val="32"/>
        </w:rPr>
        <w:t>万元，国有资本经营收支预算</w:t>
      </w:r>
      <w:r>
        <w:rPr>
          <w:rFonts w:ascii="仿宋_GB2312" w:eastAsia="仿宋_GB2312" w:cs="仿宋_GB2312"/>
          <w:sz w:val="32"/>
          <w:szCs w:val="32"/>
        </w:rPr>
        <w:t>0</w:t>
      </w:r>
      <w:r>
        <w:rPr>
          <w:rFonts w:hint="eastAsia" w:ascii="仿宋_GB2312" w:eastAsia="仿宋_GB2312" w:cs="仿宋_GB2312"/>
          <w:sz w:val="32"/>
          <w:szCs w:val="32"/>
        </w:rPr>
        <w:t>万元，与</w:t>
      </w:r>
      <w:r>
        <w:rPr>
          <w:rFonts w:ascii="仿宋_GB2312" w:eastAsia="仿宋_GB2312" w:cs="仿宋_GB2312"/>
          <w:sz w:val="32"/>
          <w:szCs w:val="32"/>
        </w:rPr>
        <w:t>2020</w:t>
      </w:r>
      <w:r>
        <w:rPr>
          <w:rFonts w:hint="eastAsia" w:ascii="仿宋_GB2312" w:eastAsia="仿宋_GB2312" w:cs="仿宋_GB2312"/>
          <w:sz w:val="32"/>
          <w:szCs w:val="32"/>
        </w:rPr>
        <w:t>年相比，收入支出</w:t>
      </w:r>
      <w:r>
        <w:rPr>
          <w:rFonts w:hint="eastAsia" w:ascii="仿宋_GB2312" w:eastAsia="仿宋_GB2312" w:cs="仿宋_GB2312"/>
          <w:color w:val="000000"/>
          <w:sz w:val="32"/>
          <w:szCs w:val="32"/>
        </w:rPr>
        <w:t>减少</w:t>
      </w:r>
      <w:r>
        <w:rPr>
          <w:rFonts w:ascii="仿宋_GB2312" w:eastAsia="仿宋_GB2312" w:cs="仿宋_GB2312"/>
          <w:sz w:val="32"/>
          <w:szCs w:val="32"/>
        </w:rPr>
        <w:t>2746.71</w:t>
      </w:r>
      <w:r>
        <w:rPr>
          <w:rFonts w:hint="eastAsia" w:ascii="仿宋_GB2312" w:eastAsia="仿宋_GB2312" w:cs="仿宋_GB2312"/>
          <w:sz w:val="32"/>
          <w:szCs w:val="32"/>
        </w:rPr>
        <w:t>万元。主要原因是：卫生健康支出减少。</w:t>
      </w:r>
    </w:p>
    <w:p>
      <w:pPr>
        <w:ind w:firstLine="640" w:firstLineChars="200"/>
        <w:rPr>
          <w:rFonts w:ascii="仿宋_GB2312" w:hAnsi="Times New Roman" w:eastAsia="仿宋_GB2312" w:cs="Times New Roman"/>
          <w:sz w:val="32"/>
          <w:szCs w:val="32"/>
        </w:rPr>
      </w:pPr>
      <w:r>
        <w:rPr>
          <w:rFonts w:hint="eastAsia" w:ascii="黑体" w:hAnsi="黑体" w:eastAsia="黑体" w:cs="黑体"/>
          <w:sz w:val="32"/>
          <w:szCs w:val="32"/>
        </w:rPr>
        <w:t>五、一般公共预算支出预算情况说明</w:t>
      </w:r>
    </w:p>
    <w:p>
      <w:pPr>
        <w:ind w:firstLine="709"/>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年一般公共预算支出年初预算为</w:t>
      </w:r>
      <w:r>
        <w:rPr>
          <w:rFonts w:ascii="Times New Roman" w:hAnsi="Times New Roman" w:eastAsia="仿宋_GB2312" w:cs="Times New Roman"/>
          <w:sz w:val="32"/>
          <w:szCs w:val="32"/>
        </w:rPr>
        <w:t>77.3</w:t>
      </w:r>
      <w:r>
        <w:rPr>
          <w:rFonts w:hint="eastAsia" w:ascii="Times New Roman" w:hAnsi="Times New Roman" w:eastAsia="仿宋_GB2312" w:cs="仿宋_GB2312"/>
          <w:sz w:val="32"/>
          <w:szCs w:val="32"/>
        </w:rPr>
        <w:t>万元。其中：基本支出</w:t>
      </w:r>
      <w:r>
        <w:rPr>
          <w:rFonts w:ascii="Times New Roman" w:hAnsi="Times New Roman" w:eastAsia="仿宋_GB2312" w:cs="Times New Roman"/>
          <w:sz w:val="32"/>
          <w:szCs w:val="32"/>
        </w:rPr>
        <w:t>47.3</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61.19%</w:t>
      </w:r>
      <w:r>
        <w:rPr>
          <w:rFonts w:hint="eastAsia" w:ascii="Times New Roman" w:hAnsi="Times New Roman" w:eastAsia="仿宋_GB2312" w:cs="仿宋_GB2312"/>
          <w:sz w:val="32"/>
          <w:szCs w:val="32"/>
        </w:rPr>
        <w:t>；项目支出</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38.81%</w:t>
      </w:r>
      <w:r>
        <w:rPr>
          <w:rFonts w:hint="eastAsia" w:ascii="Times New Roman" w:hAnsi="Times New Roman" w:eastAsia="仿宋_GB2312" w:cs="仿宋_GB2312"/>
          <w:sz w:val="32"/>
          <w:szCs w:val="32"/>
        </w:rPr>
        <w:t>。</w:t>
      </w:r>
    </w:p>
    <w:p>
      <w:pPr>
        <w:ind w:firstLine="640" w:firstLineChars="200"/>
        <w:rPr>
          <w:rFonts w:ascii="黑体" w:hAnsi="黑体" w:eastAsia="黑体" w:cs="Times New Roman"/>
          <w:sz w:val="32"/>
          <w:szCs w:val="32"/>
        </w:rPr>
      </w:pPr>
      <w:r>
        <w:rPr>
          <w:rFonts w:hint="eastAsia" w:ascii="黑体" w:hAnsi="黑体" w:eastAsia="黑体" w:cs="黑体"/>
          <w:sz w:val="32"/>
          <w:szCs w:val="32"/>
        </w:rPr>
        <w:t>六、一般公共预算基本支出预算情况说明</w:t>
      </w:r>
    </w:p>
    <w:p>
      <w:pPr>
        <w:ind w:firstLine="709"/>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年一般公共预算基本支出年初预算为</w:t>
      </w:r>
      <w:r>
        <w:rPr>
          <w:rFonts w:ascii="Times New Roman" w:hAnsi="Times New Roman" w:eastAsia="仿宋_GB2312" w:cs="Times New Roman"/>
          <w:sz w:val="32"/>
          <w:szCs w:val="32"/>
        </w:rPr>
        <w:t>47.3</w:t>
      </w:r>
      <w:r>
        <w:rPr>
          <w:rFonts w:hint="eastAsia" w:ascii="Times New Roman" w:hAnsi="Times New Roman" w:eastAsia="仿宋_GB2312" w:cs="仿宋_GB2312"/>
          <w:sz w:val="32"/>
          <w:szCs w:val="32"/>
        </w:rPr>
        <w:t>万元。其中：人员经费支出</w:t>
      </w:r>
      <w:r>
        <w:rPr>
          <w:rFonts w:ascii="Times New Roman" w:hAnsi="Times New Roman" w:eastAsia="仿宋_GB2312" w:cs="Times New Roman"/>
          <w:sz w:val="32"/>
          <w:szCs w:val="32"/>
        </w:rPr>
        <w:t>40.16</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84.9%</w:t>
      </w:r>
      <w:r>
        <w:rPr>
          <w:rFonts w:hint="eastAsia" w:ascii="Times New Roman" w:hAnsi="Times New Roman" w:eastAsia="仿宋_GB2312" w:cs="仿宋_GB2312"/>
          <w:sz w:val="32"/>
          <w:szCs w:val="32"/>
        </w:rPr>
        <w:t>；公用经费支出</w:t>
      </w:r>
      <w:r>
        <w:rPr>
          <w:rFonts w:ascii="Times New Roman" w:hAnsi="Times New Roman" w:eastAsia="仿宋_GB2312" w:cs="Times New Roman"/>
          <w:sz w:val="32"/>
          <w:szCs w:val="32"/>
        </w:rPr>
        <w:t>7.14</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15.1%</w:t>
      </w:r>
      <w:r>
        <w:rPr>
          <w:rFonts w:hint="eastAsia" w:ascii="Times New Roman" w:hAnsi="Times New Roman" w:eastAsia="仿宋_GB2312" w:cs="仿宋_GB2312"/>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cs="Times New Roman"/>
          <w:sz w:val="32"/>
          <w:szCs w:val="32"/>
        </w:rPr>
      </w:pPr>
      <w:r>
        <w:rPr>
          <w:rFonts w:hint="eastAsia" w:ascii="黑体" w:eastAsia="黑体" w:cs="黑体"/>
          <w:sz w:val="32"/>
          <w:szCs w:val="32"/>
        </w:rPr>
        <w:t>八、</w:t>
      </w:r>
      <w:r>
        <w:rPr>
          <w:rFonts w:hint="eastAsia" w:ascii="Times New Roman" w:hAnsi="Times New Roman" w:eastAsia="黑体" w:cs="黑体"/>
          <w:kern w:val="0"/>
          <w:sz w:val="32"/>
          <w:szCs w:val="32"/>
        </w:rPr>
        <w:t>一般公共预算“三公”经费支出预算情况说明</w:t>
      </w:r>
    </w:p>
    <w:p>
      <w:pPr>
        <w:ind w:firstLine="640" w:firstLineChars="200"/>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年“三公”经费预算为</w:t>
      </w:r>
      <w:r>
        <w:rPr>
          <w:rFonts w:ascii="仿宋_GB2312" w:eastAsia="仿宋_GB2312" w:cs="仿宋_GB2312"/>
          <w:sz w:val="32"/>
          <w:szCs w:val="32"/>
        </w:rPr>
        <w:t>0</w:t>
      </w:r>
      <w:r>
        <w:rPr>
          <w:rFonts w:hint="eastAsia" w:ascii="仿宋_GB2312" w:eastAsia="仿宋_GB2312" w:cs="仿宋_GB2312"/>
          <w:sz w:val="32"/>
          <w:szCs w:val="32"/>
        </w:rPr>
        <w:t>万元。比</w:t>
      </w:r>
      <w:r>
        <w:rPr>
          <w:rFonts w:ascii="仿宋_GB2312" w:eastAsia="仿宋_GB2312" w:cs="仿宋_GB2312"/>
          <w:sz w:val="32"/>
          <w:szCs w:val="32"/>
        </w:rPr>
        <w:t>2020</w:t>
      </w:r>
      <w:r>
        <w:rPr>
          <w:rFonts w:hint="eastAsia" w:ascii="仿宋_GB2312" w:eastAsia="仿宋_GB2312" w:cs="仿宋_GB2312"/>
          <w:sz w:val="32"/>
          <w:szCs w:val="32"/>
        </w:rPr>
        <w:t>年减少</w:t>
      </w:r>
      <w:r>
        <w:rPr>
          <w:rFonts w:ascii="仿宋_GB2312" w:eastAsia="仿宋_GB2312" w:cs="仿宋_GB2312"/>
          <w:sz w:val="32"/>
          <w:szCs w:val="32"/>
        </w:rPr>
        <w:t>0</w:t>
      </w:r>
      <w:r>
        <w:rPr>
          <w:rFonts w:hint="eastAsia" w:ascii="仿宋_GB2312" w:eastAsia="仿宋_GB2312" w:cs="仿宋_GB2312"/>
          <w:sz w:val="32"/>
          <w:szCs w:val="32"/>
        </w:rPr>
        <w:t>万元。</w:t>
      </w:r>
    </w:p>
    <w:p>
      <w:pPr>
        <w:kinsoku w:val="0"/>
        <w:overflowPunct w:val="0"/>
        <w:autoSpaceDE w:val="0"/>
        <w:autoSpaceDN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具体支出情况如下：</w:t>
      </w:r>
    </w:p>
    <w:p>
      <w:pPr>
        <w:kinsoku w:val="0"/>
        <w:overflowPunct w:val="0"/>
        <w:autoSpaceDE w:val="0"/>
        <w:autoSpaceDN w:val="0"/>
        <w:spacing w:line="600" w:lineRule="exact"/>
        <w:ind w:firstLine="643" w:firstLineChars="200"/>
        <w:rPr>
          <w:rFonts w:hint="eastAsia" w:ascii="仿宋_GB2312" w:eastAsia="仿宋_GB2312"/>
          <w:color w:val="FF0000"/>
          <w:sz w:val="32"/>
          <w:szCs w:val="32"/>
        </w:rPr>
      </w:pPr>
      <w:r>
        <w:rPr>
          <w:rFonts w:hint="eastAsia" w:ascii="仿宋_GB2312" w:eastAsia="仿宋_GB2312" w:cs="仿宋_GB2312"/>
          <w:b/>
          <w:bCs/>
          <w:sz w:val="32"/>
          <w:szCs w:val="32"/>
        </w:rPr>
        <w:t>因公出国（境）费</w:t>
      </w:r>
      <w:r>
        <w:rPr>
          <w:rFonts w:ascii="仿宋_GB2312" w:eastAsia="仿宋_GB2312" w:cs="仿宋_GB2312"/>
          <w:b/>
          <w:bCs/>
          <w:sz w:val="32"/>
          <w:szCs w:val="32"/>
        </w:rPr>
        <w:t>0</w:t>
      </w:r>
      <w:r>
        <w:rPr>
          <w:rFonts w:hint="eastAsia" w:ascii="仿宋_GB2312" w:eastAsia="仿宋_GB2312" w:cs="仿宋_GB2312"/>
          <w:b/>
          <w:bCs/>
          <w:sz w:val="32"/>
          <w:szCs w:val="32"/>
        </w:rPr>
        <w:t>万元</w:t>
      </w:r>
      <w:r>
        <w:rPr>
          <w:rFonts w:hint="eastAsia" w:ascii="Times New Roman" w:hAnsi="Times New Roman" w:eastAsia="仿宋_GB2312" w:cs="仿宋_GB2312"/>
          <w:sz w:val="32"/>
          <w:szCs w:val="32"/>
        </w:rPr>
        <w:t>。</w:t>
      </w:r>
      <w:r>
        <w:rPr>
          <w:rFonts w:hint="eastAsia" w:ascii="仿宋_GB2312" w:eastAsia="仿宋_GB2312"/>
          <w:color w:val="auto"/>
          <w:sz w:val="32"/>
          <w:szCs w:val="32"/>
        </w:rPr>
        <w:t>主要用于单位工作人员公务出国（境）的住宿费、差旅费、伙食补助费、杂费、培训费等支出。预算数</w:t>
      </w:r>
      <w:r>
        <w:rPr>
          <w:rFonts w:hint="eastAsia" w:ascii="仿宋_GB2312" w:eastAsia="仿宋_GB2312"/>
          <w:color w:val="auto"/>
          <w:sz w:val="32"/>
          <w:szCs w:val="32"/>
          <w:lang w:eastAsia="zh-CN"/>
        </w:rPr>
        <w:t>与</w:t>
      </w:r>
      <w:r>
        <w:rPr>
          <w:rFonts w:hint="eastAsia" w:ascii="仿宋_GB2312" w:eastAsia="仿宋_GB2312"/>
          <w:color w:val="auto"/>
          <w:sz w:val="32"/>
          <w:szCs w:val="32"/>
        </w:rPr>
        <w:t>2020年保持一致。</w:t>
      </w:r>
    </w:p>
    <w:p>
      <w:pPr>
        <w:ind w:left="19" w:leftChars="9" w:firstLine="623" w:firstLineChars="194"/>
        <w:rPr>
          <w:rFonts w:ascii="仿宋_GB2312" w:eastAsia="仿宋_GB2312"/>
          <w:color w:val="auto"/>
          <w:sz w:val="32"/>
          <w:szCs w:val="32"/>
        </w:rPr>
      </w:pPr>
      <w:r>
        <w:rPr>
          <w:rFonts w:hint="eastAsia" w:ascii="仿宋_GB2312" w:eastAsia="仿宋_GB2312" w:cs="仿宋_GB2312"/>
          <w:b/>
          <w:bCs/>
          <w:sz w:val="32"/>
          <w:szCs w:val="32"/>
        </w:rPr>
        <w:t>公务用车购置费及维护费</w:t>
      </w:r>
      <w:r>
        <w:rPr>
          <w:rFonts w:ascii="仿宋_GB2312" w:eastAsia="仿宋_GB2312" w:cs="仿宋_GB2312"/>
          <w:b/>
          <w:bCs/>
          <w:sz w:val="32"/>
          <w:szCs w:val="32"/>
        </w:rPr>
        <w:t>0</w:t>
      </w:r>
      <w:r>
        <w:rPr>
          <w:rFonts w:hint="eastAsia" w:ascii="仿宋_GB2312" w:eastAsia="仿宋_GB2312" w:cs="仿宋_GB2312"/>
          <w:b/>
          <w:bCs/>
          <w:sz w:val="32"/>
          <w:szCs w:val="32"/>
        </w:rPr>
        <w:t>万元</w:t>
      </w:r>
      <w:r>
        <w:rPr>
          <w:rFonts w:hint="eastAsia" w:ascii="仿宋_GB2312" w:eastAsia="仿宋_GB2312" w:cs="仿宋_GB2312"/>
          <w:sz w:val="32"/>
          <w:szCs w:val="32"/>
        </w:rPr>
        <w:t>，</w:t>
      </w:r>
      <w:r>
        <w:rPr>
          <w:rFonts w:hint="eastAsia" w:ascii="仿宋_GB2312" w:eastAsia="仿宋_GB2312"/>
          <w:color w:val="auto"/>
          <w:sz w:val="32"/>
          <w:szCs w:val="32"/>
        </w:rPr>
        <w:t>其中，</w:t>
      </w:r>
      <w:r>
        <w:rPr>
          <w:rFonts w:hint="eastAsia" w:ascii="Times New Roman" w:hAnsi="Times New Roman" w:eastAsia="仿宋_GB2312" w:cs="Times New Roman"/>
          <w:color w:val="auto"/>
          <w:sz w:val="32"/>
          <w:szCs w:val="32"/>
        </w:rPr>
        <w:t>公务用车购置费</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万元；</w:t>
      </w:r>
      <w:r>
        <w:rPr>
          <w:rFonts w:hint="eastAsia" w:ascii="仿宋_GB2312" w:eastAsia="仿宋_GB2312"/>
          <w:color w:val="auto"/>
          <w:sz w:val="32"/>
          <w:szCs w:val="32"/>
        </w:rPr>
        <w:t>公务用车维护费</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Times New Roman" w:hAnsi="Times New Roman" w:eastAsia="仿宋_GB2312" w:cs="Times New Roman"/>
          <w:color w:val="auto"/>
          <w:sz w:val="32"/>
          <w:szCs w:val="32"/>
        </w:rPr>
        <w:t>主要用于开展工作所需公务用车的燃料费、维修费、过路过桥费、保险费等支出。公务用车购置费预算数与2020年持平，均为</w:t>
      </w:r>
      <w:r>
        <w:rPr>
          <w:rFonts w:ascii="Times New Roman" w:hAnsi="Times New Roman" w:eastAsia="仿宋_GB2312" w:cs="Times New Roman"/>
          <w:color w:val="auto"/>
          <w:sz w:val="32"/>
          <w:szCs w:val="32"/>
        </w:rPr>
        <w:t>0</w:t>
      </w:r>
      <w:r>
        <w:rPr>
          <w:rFonts w:hint="eastAsia" w:ascii="Times New Roman" w:hAnsi="Times New Roman" w:eastAsia="仿宋_GB2312" w:cs="Times New Roman"/>
          <w:color w:val="auto"/>
          <w:sz w:val="32"/>
          <w:szCs w:val="32"/>
        </w:rPr>
        <w:t>万元。公务用车运行维护费预算数比202</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年减少</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万元。主要原因：厉行勤俭节约，压减公务用车运行维护费。</w:t>
      </w:r>
    </w:p>
    <w:p>
      <w:pPr>
        <w:ind w:left="19" w:leftChars="9" w:firstLine="623" w:firstLineChars="194"/>
        <w:rPr>
          <w:rFonts w:ascii="仿宋_GB2312" w:eastAsia="仿宋_GB2312" w:cs="Times New Roman"/>
          <w:b/>
          <w:bCs/>
          <w:color w:val="FF0000"/>
          <w:sz w:val="32"/>
          <w:szCs w:val="32"/>
        </w:rPr>
      </w:pPr>
      <w:r>
        <w:rPr>
          <w:rFonts w:hint="eastAsia" w:ascii="仿宋_GB2312" w:eastAsia="仿宋_GB2312" w:cs="仿宋_GB2312"/>
          <w:b/>
          <w:bCs/>
          <w:sz w:val="32"/>
          <w:szCs w:val="32"/>
        </w:rPr>
        <w:t>公务接待费</w:t>
      </w:r>
      <w:r>
        <w:rPr>
          <w:rFonts w:ascii="仿宋_GB2312" w:eastAsia="仿宋_GB2312" w:cs="仿宋_GB2312"/>
          <w:b/>
          <w:bCs/>
          <w:sz w:val="32"/>
          <w:szCs w:val="32"/>
        </w:rPr>
        <w:t>0</w:t>
      </w:r>
      <w:r>
        <w:rPr>
          <w:rFonts w:hint="eastAsia" w:ascii="仿宋_GB2312" w:eastAsia="仿宋_GB2312" w:cs="仿宋_GB2312"/>
          <w:b/>
          <w:bCs/>
          <w:sz w:val="32"/>
          <w:szCs w:val="32"/>
        </w:rPr>
        <w:t>万元</w:t>
      </w:r>
      <w:r>
        <w:rPr>
          <w:rFonts w:hint="eastAsia" w:ascii="Times New Roman" w:hAnsi="Times New Roman" w:eastAsia="仿宋_GB2312" w:cs="仿宋_GB2312"/>
          <w:sz w:val="32"/>
          <w:szCs w:val="32"/>
        </w:rPr>
        <w:t>。</w:t>
      </w:r>
      <w:r>
        <w:rPr>
          <w:rFonts w:hint="eastAsia" w:ascii="Times New Roman" w:hAnsi="Times New Roman" w:eastAsia="仿宋_GB2312" w:cs="Times New Roman"/>
          <w:color w:val="auto"/>
          <w:sz w:val="32"/>
          <w:szCs w:val="32"/>
        </w:rPr>
        <w:t>主要用于按规定开支的各类公务接待支出。预算数比2020年减少</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万元。主要原因：按照中央八项规定，减少公务接待开支。</w:t>
      </w:r>
    </w:p>
    <w:p>
      <w:pPr>
        <w:ind w:firstLine="640" w:firstLineChars="200"/>
        <w:rPr>
          <w:rFonts w:ascii="黑体" w:eastAsia="黑体" w:cs="Times New Roman"/>
          <w:sz w:val="32"/>
          <w:szCs w:val="32"/>
        </w:rPr>
      </w:pPr>
      <w:r>
        <w:rPr>
          <w:rFonts w:hint="eastAsia" w:ascii="黑体" w:eastAsia="黑体" w:cs="黑体"/>
          <w:sz w:val="32"/>
          <w:szCs w:val="32"/>
        </w:rPr>
        <w:t>九、政府性基金预算支出预算情况说明</w:t>
      </w:r>
    </w:p>
    <w:p>
      <w:pPr>
        <w:ind w:firstLine="70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年政府性基金预算支出年初预算为</w:t>
      </w:r>
      <w:r>
        <w:rPr>
          <w:rFonts w:ascii="Times New Roman" w:hAnsi="Times New Roman" w:eastAsia="仿宋_GB2312" w:cs="Times New Roman"/>
          <w:color w:val="000000"/>
          <w:sz w:val="32"/>
          <w:szCs w:val="32"/>
        </w:rPr>
        <w:t>51</w:t>
      </w:r>
      <w:r>
        <w:rPr>
          <w:rFonts w:hint="eastAsia" w:ascii="Times New Roman" w:hAnsi="Times New Roman" w:eastAsia="仿宋_GB2312" w:cs="仿宋_GB2312"/>
          <w:color w:val="000000"/>
          <w:sz w:val="32"/>
          <w:szCs w:val="32"/>
        </w:rPr>
        <w:t>万元。支出具体情况如下：</w:t>
      </w:r>
      <w:r>
        <w:rPr>
          <w:rFonts w:hint="eastAsia" w:ascii="仿宋_GB2312" w:eastAsia="仿宋_GB2312" w:cs="仿宋_GB2312"/>
          <w:color w:val="000000"/>
          <w:sz w:val="32"/>
          <w:szCs w:val="32"/>
        </w:rPr>
        <w:t>用于城乡医疗救助的彩票公益金支出</w:t>
      </w:r>
      <w:r>
        <w:rPr>
          <w:rFonts w:hint="eastAsia" w:ascii="仿宋_GB2312" w:eastAsia="仿宋_GB2312" w:cs="仿宋_GB2312"/>
          <w:sz w:val="32"/>
          <w:szCs w:val="32"/>
        </w:rPr>
        <w:t>项目</w:t>
      </w:r>
      <w:r>
        <w:rPr>
          <w:rFonts w:ascii="仿宋_GB2312" w:eastAsia="仿宋_GB2312" w:cs="仿宋_GB2312"/>
          <w:sz w:val="32"/>
          <w:szCs w:val="32"/>
        </w:rPr>
        <w:t>51</w:t>
      </w:r>
      <w:r>
        <w:rPr>
          <w:rFonts w:hint="eastAsia" w:ascii="仿宋_GB2312" w:eastAsia="仿宋_GB2312" w:cs="仿宋_GB2312"/>
          <w:sz w:val="32"/>
          <w:szCs w:val="32"/>
        </w:rPr>
        <w:t>万元</w:t>
      </w:r>
      <w:r>
        <w:rPr>
          <w:rFonts w:hint="eastAsia" w:ascii="Times New Roman" w:hAnsi="Times New Roman" w:eastAsia="仿宋_GB2312" w:cs="仿宋_GB2312"/>
          <w:color w:val="000000"/>
          <w:sz w:val="32"/>
          <w:szCs w:val="32"/>
        </w:rPr>
        <w:t>。</w:t>
      </w:r>
    </w:p>
    <w:p>
      <w:pPr>
        <w:ind w:firstLine="709"/>
        <w:rPr>
          <w:rFonts w:ascii="黑体" w:eastAsia="黑体" w:cs="Times New Roman"/>
          <w:sz w:val="32"/>
          <w:szCs w:val="32"/>
        </w:rPr>
      </w:pPr>
      <w:r>
        <w:rPr>
          <w:rFonts w:hint="eastAsia" w:ascii="黑体" w:eastAsia="黑体" w:cs="黑体"/>
          <w:sz w:val="32"/>
          <w:szCs w:val="32"/>
        </w:rPr>
        <w:t>十、其他重要事项的情况说明</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（一）机关运行经费支出情况说明</w:t>
      </w:r>
    </w:p>
    <w:p>
      <w:pPr>
        <w:ind w:firstLine="709"/>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年机关运行经费支出预算</w:t>
      </w:r>
      <w:r>
        <w:rPr>
          <w:rFonts w:ascii="仿宋_GB2312" w:eastAsia="仿宋_GB2312" w:cs="仿宋_GB2312"/>
          <w:sz w:val="32"/>
          <w:szCs w:val="32"/>
        </w:rPr>
        <w:t>47.3</w:t>
      </w:r>
      <w:r>
        <w:rPr>
          <w:rFonts w:hint="eastAsia" w:ascii="仿宋_GB2312" w:eastAsia="仿宋_GB2312" w:cs="仿宋_GB2312"/>
          <w:sz w:val="32"/>
          <w:szCs w:val="32"/>
        </w:rPr>
        <w:t>万元，主要保障机关人员工资发放、机构正常运转及正常履职需要。</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（二）政府采购支出情况</w:t>
      </w:r>
    </w:p>
    <w:p>
      <w:pPr>
        <w:ind w:firstLine="709"/>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年无政府采购预算安排。</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（三）绩效目标设置情况</w:t>
      </w:r>
    </w:p>
    <w:p>
      <w:pPr>
        <w:ind w:firstLine="640" w:firstLineChars="200"/>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年，我单位拟组织对城乡医疗救助项目进行预算绩效评价，涉及资金</w:t>
      </w:r>
      <w:r>
        <w:rPr>
          <w:rFonts w:ascii="仿宋_GB2312" w:eastAsia="仿宋_GB2312" w:cs="仿宋_GB2312"/>
          <w:sz w:val="32"/>
          <w:szCs w:val="32"/>
        </w:rPr>
        <w:t>1397</w:t>
      </w:r>
      <w:r>
        <w:rPr>
          <w:rFonts w:hint="eastAsia" w:ascii="仿宋_GB2312" w:eastAsia="仿宋_GB2312" w:cs="仿宋_GB2312"/>
          <w:sz w:val="32"/>
          <w:szCs w:val="32"/>
        </w:rPr>
        <w:t>万元。</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（四）国有资产占用情况</w:t>
      </w:r>
    </w:p>
    <w:p>
      <w:pPr>
        <w:ind w:firstLine="709"/>
        <w:rPr>
          <w:rFonts w:ascii="仿宋_GB2312" w:eastAsia="仿宋_GB2312" w:cs="Times New Roman"/>
          <w:color w:val="000000"/>
          <w:sz w:val="32"/>
          <w:szCs w:val="32"/>
          <w:highlight w:val="yellow"/>
        </w:rPr>
      </w:pPr>
      <w:r>
        <w:rPr>
          <w:rFonts w:ascii="仿宋_GB2312" w:eastAsia="仿宋_GB2312" w:cs="仿宋_GB2312"/>
          <w:sz w:val="32"/>
          <w:szCs w:val="32"/>
        </w:rPr>
        <w:t>2020</w:t>
      </w:r>
      <w:r>
        <w:rPr>
          <w:rFonts w:hint="eastAsia" w:ascii="仿宋_GB2312" w:eastAsia="仿宋_GB2312" w:cs="仿宋_GB2312"/>
          <w:sz w:val="32"/>
          <w:szCs w:val="32"/>
        </w:rPr>
        <w:t>年期末，我单位共有车辆</w:t>
      </w:r>
      <w:r>
        <w:rPr>
          <w:rFonts w:ascii="仿宋_GB2312" w:eastAsia="仿宋_GB2312" w:cs="仿宋_GB2312"/>
          <w:sz w:val="32"/>
          <w:szCs w:val="32"/>
        </w:rPr>
        <w:t>0</w:t>
      </w:r>
      <w:r>
        <w:rPr>
          <w:rFonts w:hint="eastAsia" w:ascii="仿宋_GB2312" w:eastAsia="仿宋_GB2312" w:cs="仿宋_GB2312"/>
          <w:sz w:val="32"/>
          <w:szCs w:val="32"/>
        </w:rPr>
        <w:t>辆。单价</w:t>
      </w:r>
      <w:r>
        <w:rPr>
          <w:rFonts w:ascii="仿宋_GB2312" w:eastAsia="仿宋_GB2312" w:cs="仿宋_GB2312"/>
          <w:sz w:val="32"/>
          <w:szCs w:val="32"/>
        </w:rPr>
        <w:t>50</w:t>
      </w:r>
      <w:r>
        <w:rPr>
          <w:rFonts w:hint="eastAsia" w:ascii="仿宋_GB2312" w:eastAsia="仿宋_GB2312" w:cs="仿宋_GB2312"/>
          <w:sz w:val="32"/>
          <w:szCs w:val="32"/>
        </w:rPr>
        <w:t>万元以上通用设备</w:t>
      </w:r>
      <w:r>
        <w:rPr>
          <w:rFonts w:ascii="仿宋_GB2312" w:eastAsia="仿宋_GB2312" w:cs="仿宋_GB2312"/>
          <w:sz w:val="32"/>
          <w:szCs w:val="32"/>
        </w:rPr>
        <w:t>0</w:t>
      </w:r>
      <w:r>
        <w:rPr>
          <w:rFonts w:hint="eastAsia" w:ascii="仿宋_GB2312" w:eastAsia="仿宋_GB2312" w:cs="仿宋_GB2312"/>
          <w:sz w:val="32"/>
          <w:szCs w:val="32"/>
        </w:rPr>
        <w:t>套，单位价值</w:t>
      </w:r>
      <w:r>
        <w:rPr>
          <w:rFonts w:ascii="仿宋_GB2312" w:eastAsia="仿宋_GB2312" w:cs="仿宋_GB2312"/>
          <w:sz w:val="32"/>
          <w:szCs w:val="32"/>
        </w:rPr>
        <w:t>100</w:t>
      </w:r>
      <w:r>
        <w:rPr>
          <w:rFonts w:hint="eastAsia" w:ascii="仿宋_GB2312" w:eastAsia="仿宋_GB2312" w:cs="仿宋_GB2312"/>
          <w:sz w:val="32"/>
          <w:szCs w:val="32"/>
        </w:rPr>
        <w:t>万元以上专用设备</w:t>
      </w:r>
      <w:r>
        <w:rPr>
          <w:rFonts w:ascii="仿宋_GB2312" w:eastAsia="仿宋_GB2312" w:cs="仿宋_GB2312"/>
          <w:sz w:val="32"/>
          <w:szCs w:val="32"/>
        </w:rPr>
        <w:t>0</w:t>
      </w:r>
      <w:r>
        <w:rPr>
          <w:rFonts w:hint="eastAsia" w:ascii="仿宋_GB2312" w:eastAsia="仿宋_GB2312" w:cs="仿宋_GB2312"/>
          <w:sz w:val="32"/>
          <w:szCs w:val="32"/>
        </w:rPr>
        <w:t>套。</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（五）专项转移支付情况</w:t>
      </w:r>
    </w:p>
    <w:p>
      <w:pPr>
        <w:ind w:firstLine="700" w:firstLineChars="219"/>
        <w:rPr>
          <w:rFonts w:ascii="仿宋_GB2312" w:eastAsia="仿宋_GB2312" w:cs="Times New Roman"/>
          <w:color w:val="FF0000"/>
          <w:sz w:val="32"/>
          <w:szCs w:val="32"/>
        </w:rPr>
      </w:pPr>
      <w:r>
        <w:rPr>
          <w:rFonts w:hint="eastAsia" w:ascii="仿宋_GB2312" w:eastAsia="仿宋_GB2312" w:cs="仿宋_GB2312"/>
          <w:sz w:val="32"/>
          <w:szCs w:val="32"/>
        </w:rPr>
        <w:t>我单位负责的专项转移支付项目共有</w:t>
      </w:r>
      <w:r>
        <w:rPr>
          <w:rFonts w:ascii="仿宋_GB2312" w:eastAsia="仿宋_GB2312" w:cs="仿宋_GB2312"/>
          <w:sz w:val="32"/>
          <w:szCs w:val="32"/>
        </w:rPr>
        <w:t>1</w:t>
      </w:r>
      <w:r>
        <w:rPr>
          <w:rFonts w:hint="eastAsia" w:ascii="仿宋_GB2312" w:eastAsia="仿宋_GB2312" w:cs="仿宋_GB2312"/>
          <w:sz w:val="32"/>
          <w:szCs w:val="32"/>
        </w:rPr>
        <w:t>项，主要是：城乡医疗救助项目</w:t>
      </w:r>
      <w:r>
        <w:rPr>
          <w:rFonts w:ascii="仿宋_GB2312" w:eastAsia="仿宋_GB2312" w:cs="仿宋_GB2312"/>
          <w:sz w:val="32"/>
          <w:szCs w:val="32"/>
        </w:rPr>
        <w:t>1346</w:t>
      </w:r>
      <w:r>
        <w:rPr>
          <w:rFonts w:hint="eastAsia" w:ascii="仿宋_GB2312" w:eastAsia="仿宋_GB2312" w:cs="仿宋_GB2312"/>
          <w:sz w:val="32"/>
          <w:szCs w:val="32"/>
        </w:rPr>
        <w:t>万元。</w:t>
      </w:r>
    </w:p>
    <w:p>
      <w:pPr>
        <w:ind w:firstLine="709"/>
        <w:jc w:val="center"/>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名词解释</w:t>
      </w:r>
    </w:p>
    <w:p>
      <w:pPr>
        <w:ind w:firstLine="709"/>
        <w:rPr>
          <w:rFonts w:ascii="仿宋_GB2312" w:eastAsia="仿宋_GB2312" w:cs="Times New Roman"/>
          <w:sz w:val="32"/>
          <w:szCs w:val="32"/>
        </w:rPr>
      </w:pPr>
      <w:r>
        <w:rPr>
          <w:rFonts w:hint="eastAsia" w:ascii="仿宋_GB2312" w:eastAsia="仿宋_GB2312" w:cs="仿宋_GB2312"/>
          <w:sz w:val="32"/>
          <w:szCs w:val="32"/>
        </w:rPr>
        <w:t>一、财政拨款收入：是指市级财政当年拨付的资金。</w:t>
      </w:r>
    </w:p>
    <w:p>
      <w:pPr>
        <w:ind w:firstLine="709"/>
        <w:rPr>
          <w:rFonts w:ascii="仿宋_GB2312" w:eastAsia="仿宋_GB2312" w:cs="Times New Roman"/>
          <w:sz w:val="32"/>
          <w:szCs w:val="32"/>
        </w:rPr>
      </w:pPr>
      <w:r>
        <w:rPr>
          <w:rFonts w:hint="eastAsia" w:ascii="仿宋_GB2312" w:eastAsia="仿宋_GB2312" w:cs="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cs="Times New Roman"/>
          <w:sz w:val="32"/>
          <w:szCs w:val="32"/>
        </w:rPr>
      </w:pPr>
      <w:r>
        <w:rPr>
          <w:rFonts w:hint="eastAsia" w:ascii="仿宋_GB2312" w:eastAsia="仿宋_GB2312" w:cs="仿宋_GB2312"/>
          <w:sz w:val="32"/>
          <w:szCs w:val="32"/>
        </w:rPr>
        <w:t>三、事业收入：是指事业单位开展专业活动及辅助活动所取得的收入，不包括教育收费。</w:t>
      </w:r>
    </w:p>
    <w:p>
      <w:pPr>
        <w:ind w:firstLine="709"/>
        <w:rPr>
          <w:rFonts w:ascii="仿宋_GB2312" w:eastAsia="仿宋_GB2312" w:cs="Times New Roman"/>
          <w:sz w:val="32"/>
          <w:szCs w:val="32"/>
        </w:rPr>
      </w:pPr>
      <w:r>
        <w:rPr>
          <w:rFonts w:hint="eastAsia" w:ascii="仿宋_GB2312" w:eastAsia="仿宋_GB2312" w:cs="仿宋_GB2312"/>
          <w:sz w:val="32"/>
          <w:szCs w:val="32"/>
        </w:rPr>
        <w:t>四、事业单位经营收入：是指事业单位在专业业务活动及其辅助活动之外开展独立核算经营活动取得的收入。</w:t>
      </w:r>
    </w:p>
    <w:p>
      <w:pPr>
        <w:ind w:firstLine="709"/>
        <w:rPr>
          <w:rFonts w:ascii="仿宋_GB2312" w:eastAsia="仿宋_GB2312" w:cs="Times New Roman"/>
          <w:sz w:val="32"/>
          <w:szCs w:val="32"/>
        </w:rPr>
      </w:pPr>
      <w:r>
        <w:rPr>
          <w:rFonts w:hint="eastAsia" w:ascii="仿宋_GB2312" w:eastAsia="仿宋_GB2312" w:cs="仿宋_GB2312"/>
          <w:sz w:val="32"/>
          <w:szCs w:val="32"/>
        </w:rPr>
        <w:t>五、其他收入：是指单位取得的除“财政拨款”、“事业收入”、“事业单位经营收入”等以外的收入。</w:t>
      </w:r>
    </w:p>
    <w:p>
      <w:pPr>
        <w:ind w:firstLine="709"/>
        <w:rPr>
          <w:rFonts w:ascii="仿宋_GB2312" w:eastAsia="仿宋_GB2312" w:cs="Times New Roman"/>
          <w:sz w:val="32"/>
          <w:szCs w:val="32"/>
        </w:rPr>
      </w:pPr>
      <w:r>
        <w:rPr>
          <w:rFonts w:hint="eastAsia" w:ascii="仿宋_GB2312" w:eastAsia="仿宋_GB2312" w:cs="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cs="Times New Roman"/>
          <w:sz w:val="32"/>
          <w:szCs w:val="32"/>
        </w:rPr>
      </w:pPr>
      <w:r>
        <w:rPr>
          <w:rFonts w:hint="eastAsia" w:ascii="仿宋_GB2312" w:eastAsia="仿宋_GB2312" w:cs="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cs="Times New Roman"/>
          <w:sz w:val="32"/>
          <w:szCs w:val="32"/>
        </w:rPr>
      </w:pPr>
      <w:r>
        <w:rPr>
          <w:rFonts w:hint="eastAsia" w:ascii="仿宋_GB2312" w:eastAsia="仿宋_GB2312" w:cs="仿宋_GB2312"/>
          <w:sz w:val="32"/>
          <w:szCs w:val="32"/>
        </w:rPr>
        <w:t>八、项目支出：是指在基本支出之外，为完成特定的行政工作任务或事业发展目标所发生的支出。</w:t>
      </w:r>
    </w:p>
    <w:p>
      <w:pPr>
        <w:ind w:firstLine="709"/>
        <w:rPr>
          <w:rFonts w:ascii="仿宋_GB2312" w:eastAsia="仿宋_GB2312" w:cs="Times New Roman"/>
          <w:sz w:val="32"/>
          <w:szCs w:val="32"/>
        </w:rPr>
      </w:pPr>
      <w:r>
        <w:rPr>
          <w:rFonts w:hint="eastAsia" w:ascii="仿宋_GB2312" w:eastAsia="仿宋_GB2312" w:cs="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cs="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cs="Times New Roman"/>
          <w:sz w:val="32"/>
          <w:szCs w:val="32"/>
        </w:rPr>
      </w:pPr>
      <w:r>
        <w:rPr>
          <w:rFonts w:hint="eastAsia" w:ascii="仿宋_GB2312" w:eastAsia="仿宋_GB2312" w:cs="仿宋_GB2312"/>
          <w:sz w:val="32"/>
          <w:szCs w:val="32"/>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cs="Times New Roman"/>
          <w:sz w:val="32"/>
          <w:szCs w:val="32"/>
        </w:rPr>
      </w:pP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附件：</w:t>
      </w: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年度单位预算表</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一、单位收支总体情况表</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二、单位收入总体情况表</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三、单位支出总体情况表</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四、财政拨款收支总体情况表</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五、一般公共预算支出情况表</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六、一般公共预算基本支出情况表</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七、一般公共预算“三公”经费支出情况表</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八、政府性基金预算支出情况表</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九、支出经济分类汇总表</w:t>
      </w:r>
    </w:p>
    <w:p>
      <w:pPr>
        <w:ind w:firstLine="709"/>
        <w:rPr>
          <w:rFonts w:hint="eastAsia" w:ascii="Times New Roman" w:hAnsi="Times New Roman" w:eastAsia="仿宋_GB2312" w:cs="Times New Roman"/>
          <w:sz w:val="32"/>
          <w:szCs w:val="32"/>
          <w:lang w:eastAsia="zh-CN"/>
        </w:rPr>
      </w:pPr>
      <w:bookmarkStart w:id="0" w:name="_GoBack"/>
      <w:r>
        <w:rPr>
          <w:rFonts w:hint="eastAsia" w:ascii="Times New Roman" w:hAnsi="Times New Roman" w:eastAsia="仿宋_GB2312" w:cs="Times New Roman"/>
          <w:kern w:val="2"/>
          <w:sz w:val="32"/>
          <w:szCs w:val="32"/>
          <w:lang w:val="en-US" w:eastAsia="zh-CN" w:bidi="ar-SA"/>
        </w:rPr>
        <w:object>
          <v:shape id="_x0000_i1025" o:spt="75" type="#_x0000_t75" style="height:66pt;width:72.75pt;" o:ole="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o:OLEObject Type="Embed" ProgID="Excel.Sheet.8" ShapeID="_x0000_i1025" DrawAspect="Icon" ObjectID="_1468075725" r:id="rId5">
            <o:LockedField>false</o:LockedField>
          </o:OLEObject>
        </w:object>
      </w:r>
      <w:bookmarkEnd w:id="0"/>
    </w:p>
    <w:p>
      <w:pPr>
        <w:ind w:firstLine="709"/>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ind w:right="945"/>
        <w:rPr>
          <w:rFonts w:cs="Times New Roma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rPr>
        <w:rFonts w:ascii="Calibri" w:hAnsi="Calibri" w:eastAsia="宋体" w:cs="Calibri"/>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cs="Times New Roman"/>
                  </w:rPr>
                </w:pPr>
                <w:r>
                  <w:fldChar w:fldCharType="begin"/>
                </w:r>
                <w:r>
                  <w:instrText xml:space="preserve"> PAGE  \* MERGEFORMAT </w:instrText>
                </w:r>
                <w:r>
                  <w:fldChar w:fldCharType="separate"/>
                </w:r>
                <w:r>
                  <w:t>8</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63B13BE"/>
    <w:rsid w:val="29FB23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99"/>
    <w:pPr>
      <w:ind w:firstLine="420"/>
    </w:pPr>
  </w:style>
  <w:style w:type="character" w:customStyle="1" w:styleId="8">
    <w:name w:val="Balloon Text Char Char"/>
    <w:basedOn w:val="6"/>
    <w:link w:val="2"/>
    <w:qFormat/>
    <w:uiPriority w:val="99"/>
    <w:rPr>
      <w:sz w:val="18"/>
      <w:szCs w:val="18"/>
    </w:rPr>
  </w:style>
  <w:style w:type="character" w:customStyle="1" w:styleId="9">
    <w:name w:val="Footer Char"/>
    <w:basedOn w:val="6"/>
    <w:link w:val="3"/>
    <w:uiPriority w:val="99"/>
    <w:rPr>
      <w:sz w:val="18"/>
      <w:szCs w:val="18"/>
    </w:rPr>
  </w:style>
  <w:style w:type="character" w:customStyle="1" w:styleId="10">
    <w:name w:val="Header Char"/>
    <w:basedOn w:val="6"/>
    <w:link w:val="4"/>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9</Pages>
  <Words>471</Words>
  <Characters>2690</Characters>
  <Lines>0</Lines>
  <Paragraphs>0</Paragraphs>
  <TotalTime>2</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琳琳小不点儿</cp:lastModifiedBy>
  <cp:lastPrinted>2022-08-28T02:12:00Z</cp:lastPrinted>
  <dcterms:modified xsi:type="dcterms:W3CDTF">2022-09-02T01:58:10Z</dcterms:modified>
  <dc:title>2021年邓州市医疗保障局单位预算基本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47DA5BBBC0D7468BBDD5115F80371EBD</vt:lpwstr>
  </property>
</Properties>
</file>