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28"/>
          <w:szCs w:val="28"/>
        </w:rPr>
      </w:pPr>
      <w:r>
        <w:rPr>
          <w:rFonts w:hint="eastAsia" w:ascii="方正小标宋简体" w:hAnsi="黑体" w:eastAsia="方正小标宋简体" w:cs="方正小标宋简体"/>
          <w:w w:val="90"/>
          <w:sz w:val="44"/>
          <w:szCs w:val="44"/>
        </w:rPr>
        <w:t>邓州市</w:t>
      </w:r>
      <w:r>
        <w:rPr>
          <w:rFonts w:ascii="方正小标宋简体" w:hAnsi="黑体" w:eastAsia="方正小标宋简体" w:cs="方正小标宋简体"/>
          <w:w w:val="90"/>
          <w:sz w:val="44"/>
          <w:szCs w:val="44"/>
        </w:rPr>
        <w:t>2021</w:t>
      </w:r>
      <w:r>
        <w:rPr>
          <w:rFonts w:hint="eastAsia" w:ascii="方正小标宋简体" w:hAnsi="黑体" w:eastAsia="方正小标宋简体" w:cs="方正小标宋简体"/>
          <w:w w:val="90"/>
          <w:sz w:val="44"/>
          <w:szCs w:val="44"/>
        </w:rPr>
        <w:t>年城乡居民医疗保险中心单位预算基本情况说明</w:t>
      </w:r>
    </w:p>
    <w:p>
      <w:pPr>
        <w:jc w:val="center"/>
        <w:rPr>
          <w:rFonts w:ascii="黑体" w:hAnsi="宋体" w:eastAsia="黑体" w:cs="Times New Roman"/>
          <w:sz w:val="36"/>
          <w:szCs w:val="36"/>
        </w:rPr>
      </w:pPr>
      <w:r>
        <w:rPr>
          <w:rFonts w:hint="eastAsia" w:ascii="黑体" w:hAnsi="宋体" w:eastAsia="黑体" w:cs="黑体"/>
          <w:sz w:val="36"/>
          <w:szCs w:val="36"/>
        </w:rPr>
        <w:t>目</w:t>
      </w:r>
      <w:r>
        <w:rPr>
          <w:rFonts w:ascii="黑体" w:hAnsi="宋体" w:eastAsia="黑体" w:cs="黑体"/>
          <w:sz w:val="36"/>
          <w:szCs w:val="36"/>
        </w:rPr>
        <w:t xml:space="preserve">  </w:t>
      </w:r>
      <w:r>
        <w:rPr>
          <w:rFonts w:hint="eastAsia" w:ascii="黑体" w:hAnsi="宋体" w:eastAsia="黑体" w:cs="黑体"/>
          <w:sz w:val="36"/>
          <w:szCs w:val="36"/>
        </w:rPr>
        <w:t>录</w:t>
      </w:r>
    </w:p>
    <w:p>
      <w:pPr>
        <w:spacing w:beforeLines="100"/>
        <w:jc w:val="left"/>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邓州市城乡居民医疗保险中心概况</w:t>
      </w:r>
    </w:p>
    <w:p>
      <w:pPr>
        <w:pStyle w:val="7"/>
        <w:numPr>
          <w:ilvl w:val="0"/>
          <w:numId w:val="1"/>
        </w:numPr>
        <w:jc w:val="left"/>
        <w:rPr>
          <w:rFonts w:ascii="仿宋_GB2312" w:hAnsi="宋体" w:eastAsia="仿宋_GB2312" w:cs="Times New Roman"/>
          <w:sz w:val="32"/>
          <w:szCs w:val="32"/>
        </w:rPr>
      </w:pPr>
      <w:r>
        <w:rPr>
          <w:rFonts w:hint="eastAsia" w:ascii="仿宋_GB2312" w:hAnsi="宋体" w:eastAsia="仿宋_GB2312" w:cs="仿宋_GB2312"/>
          <w:sz w:val="32"/>
          <w:szCs w:val="32"/>
        </w:rPr>
        <w:t>主要职责</w:t>
      </w:r>
    </w:p>
    <w:p>
      <w:pPr>
        <w:pStyle w:val="7"/>
        <w:numPr>
          <w:ilvl w:val="0"/>
          <w:numId w:val="1"/>
        </w:numPr>
        <w:jc w:val="left"/>
        <w:rPr>
          <w:rFonts w:ascii="仿宋_GB2312" w:hAnsi="宋体" w:eastAsia="仿宋_GB2312" w:cs="Times New Roman"/>
          <w:sz w:val="32"/>
          <w:szCs w:val="32"/>
        </w:rPr>
      </w:pPr>
      <w:r>
        <w:rPr>
          <w:rFonts w:hint="eastAsia" w:ascii="仿宋_GB2312" w:hAnsi="宋体" w:eastAsia="仿宋_GB2312" w:cs="仿宋_GB2312"/>
          <w:sz w:val="32"/>
          <w:szCs w:val="32"/>
        </w:rPr>
        <w:t>所属预算单位构成情况</w:t>
      </w:r>
    </w:p>
    <w:p>
      <w:pPr>
        <w:jc w:val="left"/>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邓州市城乡居民医疗保险中心</w:t>
      </w:r>
      <w:r>
        <w:rPr>
          <w:rFonts w:ascii="黑体" w:hAnsi="宋体" w:eastAsia="黑体" w:cs="黑体"/>
          <w:sz w:val="32"/>
          <w:szCs w:val="32"/>
        </w:rPr>
        <w:t>2021</w:t>
      </w:r>
      <w:r>
        <w:rPr>
          <w:rFonts w:hint="eastAsia" w:ascii="黑体" w:hAnsi="宋体" w:eastAsia="黑体" w:cs="黑体"/>
          <w:sz w:val="32"/>
          <w:szCs w:val="32"/>
        </w:rPr>
        <w:t>年单位预算情况说明</w:t>
      </w:r>
    </w:p>
    <w:p>
      <w:pPr>
        <w:jc w:val="left"/>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仿宋_GB2312" w:hAnsi="宋体" w:eastAsia="仿宋_GB2312" w:cs="Times New Roman"/>
          <w:sz w:val="32"/>
          <w:szCs w:val="32"/>
        </w:rPr>
      </w:pPr>
      <w:r>
        <w:rPr>
          <w:rFonts w:hint="eastAsia" w:ascii="黑体" w:hAnsi="宋体" w:eastAsia="黑体" w:cs="黑体"/>
          <w:sz w:val="32"/>
          <w:szCs w:val="32"/>
        </w:rPr>
        <w:t>附件</w:t>
      </w:r>
      <w:r>
        <w:rPr>
          <w:rFonts w:hint="eastAsia" w:ascii="仿宋_GB2312" w:hAnsi="宋体" w:eastAsia="仿宋_GB2312" w:cs="仿宋_GB2312"/>
          <w:sz w:val="32"/>
          <w:szCs w:val="32"/>
        </w:rPr>
        <w:t>：</w:t>
      </w:r>
      <w:r>
        <w:rPr>
          <w:rFonts w:ascii="仿宋_GB2312" w:hAnsi="宋体" w:eastAsia="仿宋_GB2312" w:cs="仿宋_GB2312"/>
          <w:sz w:val="32"/>
          <w:szCs w:val="32"/>
        </w:rPr>
        <w:t>2021</w:t>
      </w:r>
      <w:r>
        <w:rPr>
          <w:rFonts w:hint="eastAsia" w:ascii="仿宋_GB2312" w:hAnsi="宋体" w:eastAsia="仿宋_GB2312" w:cs="仿宋_GB2312"/>
          <w:sz w:val="32"/>
          <w:szCs w:val="32"/>
        </w:rPr>
        <w:t>年度单位预算表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一、单位收支总体情况表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二、单位收入总体情况表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三、单位支出总体情况表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四、财政拨款收支总体情况表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五、一般公共预算支出情况表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六、一般公共预算基本支出情况表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七、一般公共预算“三公”经费支出情况表</w:t>
      </w:r>
    </w:p>
    <w:p>
      <w:pPr>
        <w:snapToGrid w:val="0"/>
        <w:spacing w:line="360" w:lineRule="auto"/>
        <w:ind w:firstLine="425" w:firstLineChars="133"/>
        <w:rPr>
          <w:rFonts w:ascii="仿宋_GB2312" w:hAnsi="宋体" w:eastAsia="仿宋_GB2312" w:cs="Times New Roman"/>
          <w:sz w:val="28"/>
          <w:szCs w:val="28"/>
        </w:rPr>
      </w:pPr>
      <w:r>
        <w:rPr>
          <w:rFonts w:hint="eastAsia" w:ascii="仿宋_GB2312" w:hAnsi="宋体" w:eastAsia="仿宋_GB2312" w:cs="仿宋_GB2312"/>
          <w:sz w:val="32"/>
          <w:szCs w:val="32"/>
        </w:rPr>
        <w:t>八、政府性基金预算支出情况表</w:t>
      </w:r>
    </w:p>
    <w:p>
      <w:pPr>
        <w:snapToGrid w:val="0"/>
        <w:spacing w:line="360" w:lineRule="auto"/>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ind w:firstLine="427" w:firstLineChars="133"/>
        <w:rPr>
          <w:rFonts w:ascii="仿宋_GB2312" w:hAnsi="宋体" w:eastAsia="仿宋_GB2312" w:cs="Times New Roman"/>
          <w:b/>
          <w:bCs/>
          <w:sz w:val="32"/>
          <w:szCs w:val="32"/>
        </w:rPr>
      </w:pPr>
      <w:r>
        <w:rPr>
          <w:rFonts w:ascii="仿宋_GB2312" w:hAnsi="宋体" w:eastAsia="仿宋_GB2312" w:cs="Times New Roman"/>
          <w:b/>
          <w:bCs/>
          <w:sz w:val="32"/>
          <w:szCs w:val="32"/>
        </w:rPr>
        <w:br w:type="page"/>
      </w:r>
    </w:p>
    <w:p>
      <w:pPr>
        <w:jc w:val="center"/>
        <w:rPr>
          <w:rFonts w:ascii="黑体" w:hAnsi="宋体" w:eastAsia="黑体" w:cs="Times New Roman"/>
          <w:sz w:val="36"/>
          <w:szCs w:val="36"/>
        </w:rPr>
      </w:pPr>
      <w:r>
        <w:rPr>
          <w:rFonts w:hint="eastAsia" w:ascii="黑体" w:hAnsi="宋体" w:eastAsia="黑体" w:cs="黑体"/>
          <w:sz w:val="36"/>
          <w:szCs w:val="36"/>
        </w:rPr>
        <w:t>第一部分</w:t>
      </w:r>
    </w:p>
    <w:p>
      <w:pPr>
        <w:jc w:val="center"/>
        <w:rPr>
          <w:rFonts w:ascii="仿宋_GB2312" w:eastAsia="仿宋_GB2312" w:cs="Times New Roman"/>
          <w:b/>
          <w:bCs/>
          <w:sz w:val="32"/>
          <w:szCs w:val="32"/>
        </w:rPr>
      </w:pPr>
      <w:r>
        <w:rPr>
          <w:rFonts w:hint="eastAsia" w:ascii="黑体" w:hAnsi="宋体" w:eastAsia="黑体" w:cs="黑体"/>
          <w:sz w:val="36"/>
          <w:szCs w:val="36"/>
        </w:rPr>
        <w:t>邓州市城乡居民医疗保险中心概况</w:t>
      </w:r>
    </w:p>
    <w:p>
      <w:pPr>
        <w:ind w:firstLine="566" w:firstLineChars="177"/>
        <w:rPr>
          <w:rFonts w:ascii="黑体" w:eastAsia="黑体" w:cs="Times New Roman"/>
          <w:sz w:val="32"/>
          <w:szCs w:val="32"/>
        </w:rPr>
      </w:pPr>
      <w:r>
        <w:rPr>
          <w:rFonts w:hint="eastAsia" w:ascii="黑体" w:eastAsia="黑体" w:cs="黑体"/>
          <w:sz w:val="32"/>
          <w:szCs w:val="32"/>
        </w:rPr>
        <w:t>一、主要职责</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（一）组织实施医疗保障基金监督管理办法，建立健全医疗保障基金安全防控机制，推进医疗保障基金支付方式改革。</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（二）完成市委、市政府交办的其他任务。</w:t>
      </w:r>
    </w:p>
    <w:p>
      <w:pPr>
        <w:ind w:firstLine="640" w:firstLineChars="200"/>
        <w:rPr>
          <w:rFonts w:ascii="黑体" w:eastAsia="黑体" w:cs="Times New Roman"/>
          <w:sz w:val="32"/>
          <w:szCs w:val="32"/>
        </w:rPr>
      </w:pPr>
      <w:r>
        <w:rPr>
          <w:rFonts w:hint="eastAsia" w:ascii="黑体" w:eastAsia="黑体" w:cs="黑体"/>
          <w:sz w:val="32"/>
          <w:szCs w:val="32"/>
        </w:rPr>
        <w:t>二、预算单位构成情况</w:t>
      </w:r>
    </w:p>
    <w:p>
      <w:pPr>
        <w:ind w:firstLine="566" w:firstLineChars="177"/>
        <w:rPr>
          <w:rFonts w:ascii="仿宋_GB2312" w:eastAsia="仿宋_GB2312" w:cs="Times New Roman"/>
          <w:sz w:val="32"/>
          <w:szCs w:val="32"/>
        </w:rPr>
      </w:pPr>
      <w:r>
        <w:rPr>
          <w:rFonts w:hint="eastAsia" w:ascii="仿宋_GB2312" w:eastAsia="仿宋_GB2312" w:cs="仿宋_GB2312"/>
          <w:sz w:val="32"/>
          <w:szCs w:val="32"/>
        </w:rPr>
        <w:t>邓州市城乡居民医疗保险中心单位预算包括居民医保中心信息科、居民医保中心稽核科、居民医保中心审核科等内设科室。</w:t>
      </w:r>
    </w:p>
    <w:p>
      <w:pPr>
        <w:jc w:val="center"/>
        <w:rPr>
          <w:rFonts w:ascii="黑体" w:hAnsi="宋体" w:eastAsia="黑体" w:cs="Times New Roman"/>
          <w:sz w:val="36"/>
          <w:szCs w:val="36"/>
        </w:rPr>
      </w:pPr>
      <w:r>
        <w:rPr>
          <w:rFonts w:hint="eastAsia" w:ascii="黑体" w:hAnsi="宋体" w:eastAsia="黑体" w:cs="黑体"/>
          <w:sz w:val="36"/>
          <w:szCs w:val="36"/>
        </w:rPr>
        <w:t>第二部分</w:t>
      </w:r>
    </w:p>
    <w:p>
      <w:pPr>
        <w:jc w:val="center"/>
        <w:rPr>
          <w:rFonts w:ascii="黑体" w:hAnsi="宋体" w:eastAsia="黑体" w:cs="Times New Roman"/>
          <w:sz w:val="32"/>
          <w:szCs w:val="32"/>
        </w:rPr>
      </w:pPr>
      <w:r>
        <w:rPr>
          <w:rFonts w:hint="eastAsia" w:ascii="黑体" w:hAnsi="宋体" w:eastAsia="黑体" w:cs="黑体"/>
          <w:sz w:val="36"/>
          <w:szCs w:val="36"/>
        </w:rPr>
        <w:t>邓州市城乡居民医疗保险中心</w:t>
      </w:r>
      <w:r>
        <w:rPr>
          <w:rFonts w:ascii="黑体" w:hAnsi="宋体" w:eastAsia="黑体" w:cs="黑体"/>
          <w:sz w:val="36"/>
          <w:szCs w:val="36"/>
        </w:rPr>
        <w:t>2021</w:t>
      </w:r>
      <w:r>
        <w:rPr>
          <w:rFonts w:hint="eastAsia" w:ascii="黑体" w:hAnsi="宋体" w:eastAsia="黑体" w:cs="黑体"/>
          <w:sz w:val="36"/>
          <w:szCs w:val="36"/>
        </w:rPr>
        <w:t>年单位预算情况说明</w:t>
      </w:r>
    </w:p>
    <w:p>
      <w:pPr>
        <w:spacing w:beforeLines="100"/>
        <w:ind w:firstLine="709"/>
        <w:rPr>
          <w:rFonts w:ascii="黑体" w:eastAsia="黑体" w:cs="Times New Roman"/>
          <w:sz w:val="32"/>
          <w:szCs w:val="32"/>
        </w:rPr>
      </w:pPr>
      <w:r>
        <w:rPr>
          <w:rFonts w:hint="eastAsia" w:ascii="黑体" w:eastAsia="黑体" w:cs="黑体"/>
          <w:sz w:val="32"/>
          <w:szCs w:val="32"/>
        </w:rPr>
        <w:t>一、收入支出预算总体情况说明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年收入总计</w:t>
      </w:r>
      <w:r>
        <w:rPr>
          <w:rFonts w:ascii="仿宋_GB2312" w:eastAsia="仿宋_GB2312" w:cs="仿宋_GB2312"/>
          <w:sz w:val="32"/>
          <w:szCs w:val="32"/>
        </w:rPr>
        <w:t>77918.12</w:t>
      </w:r>
      <w:r>
        <w:rPr>
          <w:rFonts w:hint="eastAsia" w:ascii="仿宋_GB2312" w:eastAsia="仿宋_GB2312" w:cs="仿宋_GB2312"/>
          <w:sz w:val="32"/>
          <w:szCs w:val="32"/>
        </w:rPr>
        <w:t>万元，支出总计</w:t>
      </w:r>
      <w:r>
        <w:rPr>
          <w:rFonts w:ascii="仿宋_GB2312" w:eastAsia="仿宋_GB2312" w:cs="仿宋_GB2312"/>
          <w:sz w:val="32"/>
          <w:szCs w:val="32"/>
        </w:rPr>
        <w:t>77918.12</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年相比，收入、支出各增加</w:t>
      </w:r>
      <w:r>
        <w:rPr>
          <w:rFonts w:ascii="仿宋_GB2312" w:eastAsia="仿宋_GB2312" w:cs="仿宋_GB2312"/>
          <w:sz w:val="32"/>
          <w:szCs w:val="32"/>
        </w:rPr>
        <w:t>1033.26</w:t>
      </w:r>
      <w:r>
        <w:rPr>
          <w:rFonts w:hint="eastAsia" w:ascii="仿宋_GB2312" w:eastAsia="仿宋_GB2312" w:cs="仿宋_GB2312"/>
          <w:sz w:val="32"/>
          <w:szCs w:val="32"/>
        </w:rPr>
        <w:t>万元。主要原因是：增加财政对城乡居民基本医疗保险基金补助</w:t>
      </w:r>
      <w:r>
        <w:rPr>
          <w:rFonts w:hint="eastAsia" w:eastAsia="仿宋_GB2312" w:cs="仿宋_GB2312"/>
          <w:sz w:val="32"/>
          <w:szCs w:val="32"/>
        </w:rPr>
        <w:t>。</w:t>
      </w:r>
    </w:p>
    <w:p>
      <w:pPr>
        <w:ind w:firstLine="567"/>
        <w:rPr>
          <w:rFonts w:ascii="黑体" w:eastAsia="黑体" w:cs="Times New Roman"/>
          <w:sz w:val="32"/>
          <w:szCs w:val="32"/>
        </w:rPr>
      </w:pPr>
      <w:r>
        <w:rPr>
          <w:rFonts w:hint="eastAsia" w:ascii="黑体" w:eastAsia="黑体" w:cs="黑体"/>
          <w:sz w:val="32"/>
          <w:szCs w:val="32"/>
        </w:rPr>
        <w:t>二、收入预算总体情况说明</w:t>
      </w:r>
    </w:p>
    <w:p>
      <w:pPr>
        <w:ind w:firstLine="707" w:firstLineChars="221"/>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年收入预算</w:t>
      </w:r>
      <w:r>
        <w:rPr>
          <w:rFonts w:ascii="仿宋_GB2312" w:eastAsia="仿宋_GB2312" w:cs="仿宋_GB2312"/>
          <w:sz w:val="32"/>
          <w:szCs w:val="32"/>
        </w:rPr>
        <w:t xml:space="preserve"> 77918.12</w:t>
      </w:r>
      <w:r>
        <w:rPr>
          <w:rFonts w:hint="eastAsia" w:ascii="仿宋_GB2312" w:eastAsia="仿宋_GB2312" w:cs="仿宋_GB2312"/>
          <w:sz w:val="32"/>
          <w:szCs w:val="32"/>
        </w:rPr>
        <w:t>万元，其中：</w:t>
      </w:r>
      <w:r>
        <w:rPr>
          <w:rFonts w:hint="eastAsia" w:eastAsia="仿宋_GB2312" w:cs="仿宋_GB2312"/>
          <w:sz w:val="32"/>
          <w:szCs w:val="32"/>
        </w:rPr>
        <w:t>一般公共预算收入</w:t>
      </w:r>
      <w:r>
        <w:rPr>
          <w:rFonts w:ascii="仿宋_GB2312" w:eastAsia="仿宋_GB2312" w:cs="仿宋_GB2312"/>
          <w:sz w:val="32"/>
          <w:szCs w:val="32"/>
        </w:rPr>
        <w:t>77918.12</w:t>
      </w:r>
      <w:r>
        <w:rPr>
          <w:rFonts w:hint="eastAsia" w:ascii="仿宋_GB2312" w:eastAsia="仿宋_GB2312" w:cs="仿宋_GB2312"/>
          <w:sz w:val="32"/>
          <w:szCs w:val="32"/>
        </w:rPr>
        <w:t>万元，政府性基金收入</w:t>
      </w:r>
      <w:r>
        <w:rPr>
          <w:rFonts w:ascii="仿宋_GB2312" w:eastAsia="仿宋_GB2312" w:cs="仿宋_GB2312"/>
          <w:sz w:val="32"/>
          <w:szCs w:val="32"/>
        </w:rPr>
        <w:t>0</w:t>
      </w:r>
      <w:r>
        <w:rPr>
          <w:rFonts w:hint="eastAsia" w:ascii="仿宋_GB2312" w:eastAsia="仿宋_GB2312" w:cs="仿宋_GB2312"/>
          <w:sz w:val="32"/>
          <w:szCs w:val="32"/>
        </w:rPr>
        <w:t>万元，国有资本经营预算收入</w:t>
      </w:r>
      <w:r>
        <w:rPr>
          <w:rFonts w:ascii="仿宋_GB2312" w:eastAsia="仿宋_GB2312" w:cs="仿宋_GB2312"/>
          <w:sz w:val="32"/>
          <w:szCs w:val="32"/>
        </w:rPr>
        <w:t>0</w:t>
      </w:r>
      <w:r>
        <w:rPr>
          <w:rFonts w:hint="eastAsia" w:ascii="仿宋_GB2312" w:eastAsia="仿宋_GB2312" w:cs="仿宋_GB2312"/>
          <w:sz w:val="32"/>
          <w:szCs w:val="32"/>
        </w:rPr>
        <w:t>万元，财政专户管理资金收入</w:t>
      </w:r>
      <w:r>
        <w:rPr>
          <w:rFonts w:ascii="仿宋_GB2312" w:eastAsia="仿宋_GB2312" w:cs="仿宋_GB2312"/>
          <w:sz w:val="32"/>
          <w:szCs w:val="32"/>
        </w:rPr>
        <w:t>0</w:t>
      </w:r>
      <w:r>
        <w:rPr>
          <w:rFonts w:hint="eastAsia" w:ascii="仿宋_GB2312" w:eastAsia="仿宋_GB2312" w:cs="仿宋_GB2312"/>
          <w:sz w:val="32"/>
          <w:szCs w:val="32"/>
        </w:rPr>
        <w:t>万元。</w:t>
      </w:r>
    </w:p>
    <w:p>
      <w:pPr>
        <w:ind w:firstLine="709"/>
        <w:rPr>
          <w:rFonts w:ascii="黑体" w:eastAsia="黑体" w:cs="Times New Roman"/>
          <w:sz w:val="32"/>
          <w:szCs w:val="32"/>
        </w:rPr>
      </w:pPr>
      <w:r>
        <w:rPr>
          <w:rFonts w:hint="eastAsia" w:ascii="黑体" w:eastAsia="黑体" w:cs="黑体"/>
          <w:sz w:val="32"/>
          <w:szCs w:val="32"/>
        </w:rPr>
        <w:t>三、支出预算总体情况说明</w:t>
      </w:r>
    </w:p>
    <w:p>
      <w:pPr>
        <w:ind w:firstLine="709"/>
        <w:rPr>
          <w:rFonts w:ascii="仿宋_GB2312" w:eastAsia="仿宋_GB2312" w:cs="Times New Roman"/>
          <w:sz w:val="32"/>
          <w:szCs w:val="32"/>
        </w:rPr>
      </w:pPr>
      <w:r>
        <w:rPr>
          <w:rFonts w:ascii="仿宋_GB2312" w:eastAsia="仿宋_GB2312" w:cs="仿宋_GB2312"/>
          <w:color w:val="auto"/>
          <w:sz w:val="32"/>
          <w:szCs w:val="32"/>
        </w:rPr>
        <w:t>2021</w:t>
      </w:r>
      <w:r>
        <w:rPr>
          <w:rFonts w:hint="eastAsia" w:ascii="仿宋_GB2312" w:eastAsia="仿宋_GB2312" w:cs="仿宋_GB2312"/>
          <w:color w:val="auto"/>
          <w:sz w:val="32"/>
          <w:szCs w:val="32"/>
        </w:rPr>
        <w:t>年支出预算</w:t>
      </w:r>
      <w:r>
        <w:rPr>
          <w:rFonts w:ascii="仿宋_GB2312" w:eastAsia="仿宋_GB2312" w:cs="仿宋_GB2312"/>
          <w:color w:val="auto"/>
          <w:sz w:val="32"/>
          <w:szCs w:val="32"/>
        </w:rPr>
        <w:t>77918.12</w:t>
      </w:r>
      <w:r>
        <w:rPr>
          <w:rFonts w:hint="eastAsia" w:ascii="仿宋_GB2312" w:eastAsia="仿宋_GB2312" w:cs="仿宋_GB2312"/>
          <w:color w:val="auto"/>
          <w:sz w:val="32"/>
          <w:szCs w:val="32"/>
        </w:rPr>
        <w:t>万元，其中：基本支出</w:t>
      </w:r>
      <w:r>
        <w:rPr>
          <w:rFonts w:hint="eastAsia" w:ascii="仿宋_GB2312" w:eastAsia="仿宋_GB2312" w:cs="仿宋_GB2312"/>
          <w:color w:val="auto"/>
          <w:sz w:val="32"/>
          <w:szCs w:val="32"/>
          <w:lang w:val="en-US" w:eastAsia="zh-CN"/>
        </w:rPr>
        <w:t>360</w:t>
      </w:r>
      <w:r>
        <w:rPr>
          <w:rFonts w:ascii="仿宋_GB2312" w:eastAsia="仿宋_GB2312" w:cs="仿宋_GB2312"/>
          <w:color w:val="auto"/>
          <w:sz w:val="32"/>
          <w:szCs w:val="32"/>
        </w:rPr>
        <w:t>.12</w:t>
      </w:r>
      <w:r>
        <w:rPr>
          <w:rFonts w:hint="eastAsia" w:ascii="仿宋_GB2312" w:eastAsia="仿宋_GB2312" w:cs="仿宋_GB2312"/>
          <w:color w:val="auto"/>
          <w:sz w:val="32"/>
          <w:szCs w:val="32"/>
        </w:rPr>
        <w:t>万元，占年度计划的</w:t>
      </w:r>
      <w:r>
        <w:rPr>
          <w:rFonts w:ascii="仿宋_GB2312" w:eastAsia="仿宋_GB2312" w:cs="仿宋_GB2312"/>
          <w:color w:val="auto"/>
          <w:sz w:val="32"/>
          <w:szCs w:val="32"/>
        </w:rPr>
        <w:t>0.</w:t>
      </w:r>
      <w:r>
        <w:rPr>
          <w:rFonts w:hint="eastAsia" w:ascii="仿宋_GB2312" w:eastAsia="仿宋_GB2312" w:cs="仿宋_GB2312"/>
          <w:color w:val="auto"/>
          <w:sz w:val="32"/>
          <w:szCs w:val="32"/>
          <w:lang w:val="en-US" w:eastAsia="zh-CN"/>
        </w:rPr>
        <w:t>47</w:t>
      </w:r>
      <w:r>
        <w:rPr>
          <w:rFonts w:ascii="仿宋_GB2312" w:eastAsia="仿宋_GB2312" w:cs="仿宋_GB2312"/>
          <w:color w:val="auto"/>
          <w:sz w:val="32"/>
          <w:szCs w:val="32"/>
        </w:rPr>
        <w:t>%</w:t>
      </w:r>
      <w:r>
        <w:rPr>
          <w:rFonts w:hint="eastAsia" w:ascii="仿宋_GB2312" w:eastAsia="仿宋_GB2312" w:cs="仿宋_GB2312"/>
          <w:color w:val="auto"/>
          <w:sz w:val="32"/>
          <w:szCs w:val="32"/>
        </w:rPr>
        <w:t>；项目支出</w:t>
      </w:r>
      <w:r>
        <w:rPr>
          <w:rFonts w:hint="eastAsia" w:ascii="仿宋_GB2312" w:eastAsia="仿宋_GB2312" w:cs="仿宋_GB2312"/>
          <w:color w:val="auto"/>
          <w:sz w:val="32"/>
          <w:szCs w:val="32"/>
          <w:lang w:val="en-US" w:eastAsia="zh-CN"/>
        </w:rPr>
        <w:t>77558</w:t>
      </w:r>
      <w:r>
        <w:rPr>
          <w:rFonts w:hint="eastAsia" w:ascii="仿宋_GB2312" w:eastAsia="仿宋_GB2312" w:cs="仿宋_GB2312"/>
          <w:color w:val="auto"/>
          <w:sz w:val="32"/>
          <w:szCs w:val="32"/>
        </w:rPr>
        <w:t>万元，占年度计划的</w:t>
      </w:r>
      <w:r>
        <w:rPr>
          <w:rFonts w:ascii="仿宋_GB2312" w:eastAsia="仿宋_GB2312" w:cs="仿宋_GB2312"/>
          <w:color w:val="auto"/>
          <w:sz w:val="32"/>
          <w:szCs w:val="32"/>
        </w:rPr>
        <w:t>99.</w:t>
      </w:r>
      <w:r>
        <w:rPr>
          <w:rFonts w:hint="eastAsia" w:ascii="仿宋_GB2312" w:eastAsia="仿宋_GB2312" w:cs="仿宋_GB2312"/>
          <w:color w:val="auto"/>
          <w:sz w:val="32"/>
          <w:szCs w:val="32"/>
          <w:lang w:val="en-US" w:eastAsia="zh-CN"/>
        </w:rPr>
        <w:t>53</w:t>
      </w:r>
      <w:r>
        <w:rPr>
          <w:rFonts w:ascii="仿宋_GB2312" w:eastAsia="仿宋_GB2312" w:cs="仿宋_GB2312"/>
          <w:color w:val="auto"/>
          <w:sz w:val="32"/>
          <w:szCs w:val="32"/>
        </w:rPr>
        <w:t>%</w:t>
      </w:r>
      <w:r>
        <w:rPr>
          <w:rFonts w:hint="eastAsia" w:ascii="仿宋_GB2312" w:eastAsia="仿宋_GB2312" w:cs="仿宋_GB2312"/>
          <w:color w:val="auto"/>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四、财政拨款收支预算总体情况说明</w:t>
      </w:r>
    </w:p>
    <w:p>
      <w:pPr>
        <w:ind w:firstLine="640" w:firstLineChars="200"/>
        <w:rPr>
          <w:rFonts w:hint="eastAsia" w:ascii="仿宋_GB2312" w:eastAsia="仿宋_GB2312" w:cs="仿宋_GB2312"/>
          <w:sz w:val="32"/>
          <w:szCs w:val="32"/>
          <w:lang w:eastAsia="zh-CN"/>
        </w:rPr>
      </w:pPr>
      <w:r>
        <w:rPr>
          <w:rFonts w:ascii="仿宋_GB2312" w:eastAsia="仿宋_GB2312" w:cs="仿宋_GB2312"/>
          <w:sz w:val="32"/>
          <w:szCs w:val="32"/>
        </w:rPr>
        <w:t>2021</w:t>
      </w:r>
      <w:r>
        <w:rPr>
          <w:rFonts w:hint="eastAsia" w:ascii="仿宋_GB2312" w:eastAsia="仿宋_GB2312" w:cs="仿宋_GB2312"/>
          <w:sz w:val="32"/>
          <w:szCs w:val="32"/>
        </w:rPr>
        <w:t>年一般公共预算收支预算</w:t>
      </w:r>
      <w:r>
        <w:rPr>
          <w:rFonts w:ascii="仿宋_GB2312" w:eastAsia="仿宋_GB2312" w:cs="仿宋_GB2312"/>
          <w:sz w:val="32"/>
          <w:szCs w:val="32"/>
        </w:rPr>
        <w:t>77918.12</w:t>
      </w:r>
      <w:r>
        <w:rPr>
          <w:rFonts w:hint="eastAsia" w:ascii="仿宋_GB2312" w:eastAsia="仿宋_GB2312" w:cs="仿宋_GB2312"/>
          <w:sz w:val="32"/>
          <w:szCs w:val="32"/>
        </w:rPr>
        <w:t>万元，政府性基金收支预算</w:t>
      </w:r>
      <w:r>
        <w:rPr>
          <w:rFonts w:ascii="仿宋_GB2312" w:eastAsia="仿宋_GB2312" w:cs="仿宋_GB2312"/>
          <w:sz w:val="32"/>
          <w:szCs w:val="32"/>
        </w:rPr>
        <w:t>0</w:t>
      </w:r>
      <w:r>
        <w:rPr>
          <w:rFonts w:hint="eastAsia" w:ascii="仿宋_GB2312" w:eastAsia="仿宋_GB2312" w:cs="仿宋_GB2312"/>
          <w:sz w:val="32"/>
          <w:szCs w:val="32"/>
        </w:rPr>
        <w:t>万元，国有资本经营收支预算</w:t>
      </w:r>
      <w:r>
        <w:rPr>
          <w:rFonts w:ascii="仿宋_GB2312" w:eastAsia="仿宋_GB2312" w:cs="仿宋_GB2312"/>
          <w:sz w:val="32"/>
          <w:szCs w:val="32"/>
        </w:rPr>
        <w:t>0</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w:t>
      </w:r>
      <w:r>
        <w:rPr>
          <w:rFonts w:hint="eastAsia" w:ascii="仿宋_GB2312" w:eastAsia="仿宋_GB2312" w:cs="仿宋_GB2312"/>
          <w:color w:val="000000"/>
          <w:sz w:val="32"/>
          <w:szCs w:val="32"/>
        </w:rPr>
        <w:t>增加</w:t>
      </w:r>
      <w:r>
        <w:rPr>
          <w:rFonts w:ascii="仿宋_GB2312" w:eastAsia="仿宋_GB2312" w:cs="仿宋_GB2312"/>
          <w:sz w:val="32"/>
          <w:szCs w:val="32"/>
        </w:rPr>
        <w:t>1033.26</w:t>
      </w:r>
      <w:r>
        <w:rPr>
          <w:rFonts w:hint="eastAsia" w:ascii="仿宋_GB2312" w:eastAsia="仿宋_GB2312" w:cs="仿宋_GB2312"/>
          <w:sz w:val="32"/>
          <w:szCs w:val="32"/>
        </w:rPr>
        <w:t>万元。主要原因是：增加了财政对城乡居民基本医疗保险基金补助</w:t>
      </w:r>
      <w:r>
        <w:rPr>
          <w:rFonts w:hint="eastAsia" w:ascii="仿宋_GB2312" w:eastAsia="仿宋_GB2312" w:cs="仿宋_GB2312"/>
          <w:sz w:val="32"/>
          <w:szCs w:val="32"/>
          <w:lang w:eastAsia="zh-CN"/>
        </w:rPr>
        <w:t>。</w:t>
      </w:r>
    </w:p>
    <w:p>
      <w:pPr>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五、一般公共预算支出预算情况说明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年一般公共预算支出年初预算为</w:t>
      </w:r>
      <w:r>
        <w:rPr>
          <w:rFonts w:hint="eastAsia" w:ascii="仿宋_GB2312" w:eastAsia="仿宋_GB2312" w:cs="仿宋_GB2312"/>
          <w:sz w:val="32"/>
          <w:szCs w:val="32"/>
          <w:lang w:val="en-US" w:eastAsia="zh-CN"/>
        </w:rPr>
        <w:t>666.12</w:t>
      </w:r>
      <w:r>
        <w:rPr>
          <w:rFonts w:hint="eastAsia" w:ascii="Times New Roman" w:hAnsi="Times New Roman" w:eastAsia="仿宋_GB2312" w:cs="仿宋_GB2312"/>
          <w:sz w:val="32"/>
          <w:szCs w:val="32"/>
        </w:rPr>
        <w:t>万元。其中：基本支出</w:t>
      </w:r>
      <w:r>
        <w:rPr>
          <w:rFonts w:hint="eastAsia" w:ascii="仿宋_GB2312" w:eastAsia="仿宋_GB2312" w:cs="仿宋_GB2312"/>
          <w:sz w:val="32"/>
          <w:szCs w:val="32"/>
          <w:lang w:val="en-US" w:eastAsia="zh-CN"/>
        </w:rPr>
        <w:t>360.12</w:t>
      </w:r>
      <w:r>
        <w:rPr>
          <w:rFonts w:hint="eastAsia" w:ascii="Times New Roman" w:hAnsi="Times New Roman" w:eastAsia="仿宋_GB2312" w:cs="仿宋_GB2312"/>
          <w:sz w:val="32"/>
          <w:szCs w:val="32"/>
        </w:rPr>
        <w:t>万元，占</w:t>
      </w:r>
      <w:r>
        <w:rPr>
          <w:rFonts w:hint="eastAsia" w:ascii="Times New Roman" w:hAnsi="Times New Roman" w:eastAsia="仿宋_GB2312" w:cs="Times New Roman"/>
          <w:sz w:val="32"/>
          <w:szCs w:val="32"/>
          <w:lang w:val="en-US" w:eastAsia="zh-CN"/>
        </w:rPr>
        <w:t>54.06</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；项目支出</w:t>
      </w:r>
      <w:r>
        <w:rPr>
          <w:rFonts w:hint="eastAsia" w:ascii="Times New Roman" w:hAnsi="Times New Roman" w:eastAsia="仿宋_GB2312" w:cs="Times New Roman"/>
          <w:sz w:val="32"/>
          <w:szCs w:val="32"/>
          <w:lang w:val="en-US" w:eastAsia="zh-CN"/>
        </w:rPr>
        <w:t>306</w:t>
      </w:r>
      <w:r>
        <w:rPr>
          <w:rFonts w:hint="eastAsia" w:ascii="Times New Roman" w:hAnsi="Times New Roman" w:eastAsia="仿宋_GB2312" w:cs="仿宋_GB2312"/>
          <w:sz w:val="32"/>
          <w:szCs w:val="32"/>
        </w:rPr>
        <w:t>万元，占</w:t>
      </w:r>
      <w:r>
        <w:rPr>
          <w:rFonts w:hint="eastAsia" w:ascii="Times New Roman" w:hAnsi="Times New Roman" w:eastAsia="仿宋_GB2312" w:cs="Times New Roman"/>
          <w:sz w:val="32"/>
          <w:szCs w:val="32"/>
          <w:lang w:val="en-US" w:eastAsia="zh-CN"/>
        </w:rPr>
        <w:t>45.94</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六、一般公预算基本支出预算情况说明</w:t>
      </w:r>
    </w:p>
    <w:p>
      <w:pPr>
        <w:spacing w:line="600" w:lineRule="exact"/>
        <w:ind w:firstLine="640" w:firstLineChars="200"/>
        <w:rPr>
          <w:rFonts w:hint="eastAsia" w:ascii="Times New Roman" w:hAnsi="Times New Roman" w:eastAsia="仿宋_GB2312" w:cs="仿宋_GB2312"/>
          <w:color w:val="auto"/>
          <w:sz w:val="32"/>
          <w:szCs w:val="32"/>
        </w:rPr>
      </w:pPr>
      <w:r>
        <w:rPr>
          <w:rFonts w:ascii="Times New Roman" w:hAnsi="Times New Roman" w:eastAsia="仿宋_GB2312" w:cs="Times New Roman"/>
          <w:color w:val="auto"/>
          <w:sz w:val="32"/>
          <w:szCs w:val="32"/>
        </w:rPr>
        <w:t>2021</w:t>
      </w:r>
      <w:r>
        <w:rPr>
          <w:rFonts w:hint="eastAsia" w:ascii="Times New Roman" w:hAnsi="Times New Roman" w:eastAsia="仿宋_GB2312" w:cs="仿宋_GB2312"/>
          <w:color w:val="auto"/>
          <w:sz w:val="32"/>
          <w:szCs w:val="32"/>
        </w:rPr>
        <w:t>年一般公共预算基本支出年初预算为</w:t>
      </w:r>
      <w:r>
        <w:rPr>
          <w:rFonts w:hint="eastAsia" w:ascii="仿宋_GB2312" w:eastAsia="仿宋_GB2312" w:cs="仿宋_GB2312"/>
          <w:color w:val="auto"/>
          <w:sz w:val="32"/>
          <w:szCs w:val="32"/>
          <w:lang w:val="en-US" w:eastAsia="zh-CN"/>
        </w:rPr>
        <w:t>360.12</w:t>
      </w:r>
      <w:r>
        <w:rPr>
          <w:rFonts w:hint="eastAsia" w:ascii="Times New Roman" w:hAnsi="Times New Roman" w:eastAsia="仿宋_GB2312" w:cs="仿宋_GB2312"/>
          <w:color w:val="auto"/>
          <w:sz w:val="32"/>
          <w:szCs w:val="32"/>
        </w:rPr>
        <w:t>万元。其中：人员经费支出</w:t>
      </w:r>
      <w:r>
        <w:rPr>
          <w:rFonts w:hint="eastAsia" w:ascii="Times New Roman" w:hAnsi="Times New Roman" w:eastAsia="仿宋_GB2312" w:cs="Times New Roman"/>
          <w:color w:val="auto"/>
          <w:sz w:val="32"/>
          <w:szCs w:val="32"/>
          <w:lang w:val="en-US" w:eastAsia="zh-CN"/>
        </w:rPr>
        <w:t>347.40</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Times New Roman"/>
          <w:color w:val="auto"/>
          <w:sz w:val="32"/>
          <w:szCs w:val="32"/>
          <w:lang w:val="en-US" w:eastAsia="zh-CN"/>
        </w:rPr>
        <w:t>96.41</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；公用经费支出</w:t>
      </w:r>
      <w:r>
        <w:rPr>
          <w:rFonts w:hint="eastAsia" w:ascii="Times New Roman" w:hAnsi="Times New Roman" w:eastAsia="仿宋_GB2312" w:cs="Times New Roman"/>
          <w:color w:val="auto"/>
          <w:sz w:val="32"/>
          <w:szCs w:val="32"/>
          <w:lang w:val="en-US" w:eastAsia="zh-CN"/>
        </w:rPr>
        <w:t>12.72</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Times New Roman"/>
          <w:color w:val="auto"/>
          <w:sz w:val="32"/>
          <w:szCs w:val="32"/>
          <w:lang w:val="en-US" w:eastAsia="zh-CN"/>
        </w:rPr>
        <w:t>3.59</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cs="Times New Roman"/>
          <w:sz w:val="32"/>
          <w:szCs w:val="32"/>
        </w:rPr>
      </w:pPr>
      <w:r>
        <w:rPr>
          <w:rFonts w:hint="eastAsia" w:ascii="黑体" w:eastAsia="黑体" w:cs="黑体"/>
          <w:sz w:val="32"/>
          <w:szCs w:val="32"/>
          <w:lang w:eastAsia="zh-CN"/>
        </w:rPr>
        <w:t>八</w:t>
      </w:r>
      <w:r>
        <w:rPr>
          <w:rFonts w:hint="eastAsia" w:ascii="黑体" w:eastAsia="黑体" w:cs="黑体"/>
          <w:sz w:val="32"/>
          <w:szCs w:val="32"/>
        </w:rPr>
        <w:t>、一般公共预算“三公”经费支出预算情况说明</w:t>
      </w:r>
    </w:p>
    <w:p>
      <w:pPr>
        <w:ind w:firstLine="640" w:firstLineChars="200"/>
        <w:rPr>
          <w:rFonts w:ascii="黑体" w:eastAsia="黑体"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年“三公”经费预算为</w:t>
      </w:r>
      <w:r>
        <w:rPr>
          <w:rFonts w:ascii="仿宋_GB2312" w:eastAsia="仿宋_GB2312" w:cs="仿宋_GB2312"/>
          <w:sz w:val="32"/>
          <w:szCs w:val="32"/>
        </w:rPr>
        <w:t>11.1</w:t>
      </w:r>
      <w:r>
        <w:rPr>
          <w:rFonts w:hint="eastAsia" w:ascii="仿宋_GB2312" w:eastAsia="仿宋_GB2312" w:cs="仿宋_GB2312"/>
          <w:sz w:val="32"/>
          <w:szCs w:val="32"/>
        </w:rPr>
        <w:t>万元。预算数与</w:t>
      </w:r>
      <w:r>
        <w:rPr>
          <w:rFonts w:ascii="仿宋_GB2312" w:eastAsia="仿宋_GB2312" w:cs="仿宋_GB2312"/>
          <w:sz w:val="32"/>
          <w:szCs w:val="32"/>
        </w:rPr>
        <w:t>2020</w:t>
      </w:r>
      <w:r>
        <w:rPr>
          <w:rFonts w:hint="eastAsia" w:ascii="仿宋_GB2312" w:eastAsia="仿宋_GB2312" w:cs="仿宋_GB2312"/>
          <w:sz w:val="32"/>
          <w:szCs w:val="32"/>
        </w:rPr>
        <w:t>年持平。</w:t>
      </w:r>
    </w:p>
    <w:p>
      <w:pPr>
        <w:ind w:firstLine="640" w:firstLineChars="200"/>
        <w:rPr>
          <w:rFonts w:ascii="黑体" w:eastAsia="黑体" w:cs="Times New Roman"/>
          <w:sz w:val="32"/>
          <w:szCs w:val="32"/>
        </w:rPr>
      </w:pPr>
      <w:r>
        <w:rPr>
          <w:rFonts w:hint="eastAsia" w:ascii="仿宋_GB2312" w:eastAsia="仿宋_GB2312" w:cs="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cs="仿宋_GB2312"/>
          <w:b/>
          <w:bCs/>
          <w:sz w:val="32"/>
          <w:szCs w:val="32"/>
        </w:rPr>
        <w:t>因公出国（境）费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主要用于单位工作人员公务出国（境）的住宿费、旅费、伙食补助费、杂费、培训费等支出。预算数比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cs="Times New Roman"/>
          <w:sz w:val="32"/>
          <w:szCs w:val="32"/>
        </w:rPr>
      </w:pPr>
      <w:r>
        <w:rPr>
          <w:rFonts w:hint="eastAsia" w:ascii="仿宋_GB2312" w:eastAsia="仿宋_GB2312" w:cs="仿宋_GB2312"/>
          <w:b/>
          <w:bCs/>
          <w:sz w:val="32"/>
          <w:szCs w:val="32"/>
        </w:rPr>
        <w:t>公务用车购置费及维护费</w:t>
      </w:r>
      <w:r>
        <w:rPr>
          <w:rFonts w:ascii="仿宋_GB2312" w:eastAsia="仿宋_GB2312" w:cs="仿宋_GB2312"/>
          <w:b/>
          <w:bCs/>
          <w:sz w:val="32"/>
          <w:szCs w:val="32"/>
        </w:rPr>
        <w:t>7.2</w:t>
      </w:r>
      <w:r>
        <w:rPr>
          <w:rFonts w:hint="eastAsia" w:ascii="仿宋_GB2312" w:eastAsia="仿宋_GB2312" w:cs="仿宋_GB2312"/>
          <w:b/>
          <w:bCs/>
          <w:sz w:val="32"/>
          <w:szCs w:val="32"/>
        </w:rPr>
        <w:t>万元</w:t>
      </w:r>
      <w:r>
        <w:rPr>
          <w:rFonts w:hint="eastAsia" w:ascii="仿宋_GB2312" w:eastAsia="仿宋_GB2312" w:cs="仿宋_GB2312"/>
          <w:sz w:val="32"/>
          <w:szCs w:val="32"/>
        </w:rPr>
        <w:t>，其中，</w:t>
      </w:r>
      <w:r>
        <w:rPr>
          <w:rFonts w:hint="eastAsia" w:ascii="Times New Roman" w:hAnsi="Times New Roman" w:eastAsia="仿宋_GB2312" w:cs="仿宋_GB2312"/>
          <w:sz w:val="32"/>
          <w:szCs w:val="32"/>
        </w:rPr>
        <w:t>公务用车购置费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r>
        <w:rPr>
          <w:rFonts w:hint="eastAsia" w:ascii="仿宋_GB2312" w:eastAsia="仿宋_GB2312" w:cs="仿宋_GB2312"/>
          <w:sz w:val="32"/>
          <w:szCs w:val="32"/>
        </w:rPr>
        <w:t>公务用车维护费</w:t>
      </w:r>
      <w:r>
        <w:rPr>
          <w:rFonts w:ascii="仿宋_GB2312" w:eastAsia="仿宋_GB2312" w:cs="仿宋_GB2312"/>
          <w:sz w:val="32"/>
          <w:szCs w:val="32"/>
        </w:rPr>
        <w:t>7.2</w:t>
      </w:r>
      <w:r>
        <w:rPr>
          <w:rFonts w:hint="eastAsia" w:ascii="仿宋_GB2312" w:eastAsia="仿宋_GB2312" w:cs="仿宋_GB2312"/>
          <w:sz w:val="32"/>
          <w:szCs w:val="32"/>
        </w:rPr>
        <w:t>万元。</w:t>
      </w:r>
      <w:r>
        <w:rPr>
          <w:rFonts w:hint="eastAsia" w:ascii="Times New Roman" w:hAnsi="Times New Roman" w:eastAsia="仿宋_GB2312" w:cs="仿宋_GB2312"/>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p>
    <w:p>
      <w:pPr>
        <w:ind w:left="19" w:leftChars="9" w:firstLine="623" w:firstLineChars="194"/>
        <w:rPr>
          <w:rFonts w:ascii="仿宋_GB2312" w:eastAsia="仿宋_GB2312" w:cs="Times New Roman"/>
          <w:b/>
          <w:bCs/>
          <w:color w:val="FF0000"/>
          <w:sz w:val="32"/>
          <w:szCs w:val="32"/>
        </w:rPr>
      </w:pPr>
      <w:r>
        <w:rPr>
          <w:rFonts w:hint="eastAsia" w:ascii="仿宋_GB2312" w:eastAsia="仿宋_GB2312" w:cs="仿宋_GB2312"/>
          <w:b/>
          <w:bCs/>
          <w:sz w:val="32"/>
          <w:szCs w:val="32"/>
        </w:rPr>
        <w:t>公务接待费</w:t>
      </w:r>
      <w:r>
        <w:rPr>
          <w:rFonts w:ascii="仿宋_GB2312" w:eastAsia="仿宋_GB2312" w:cs="仿宋_GB2312"/>
          <w:b/>
          <w:bCs/>
          <w:sz w:val="32"/>
          <w:szCs w:val="32"/>
        </w:rPr>
        <w:t>3.9</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主要用于按规定开支的各类公务接待支出。预算数比</w:t>
      </w:r>
      <w:r>
        <w:rPr>
          <w:rFonts w:ascii="Times New Roman" w:hAnsi="Times New Roman" w:eastAsia="仿宋_GB2312" w:cs="Times New Roman"/>
          <w:sz w:val="32"/>
          <w:szCs w:val="32"/>
        </w:rPr>
        <w:t xml:space="preserve"> 2020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万元。主要原因：按照中央八项规定，减少公务接待开支。</w:t>
      </w:r>
    </w:p>
    <w:p>
      <w:pPr>
        <w:ind w:firstLine="640" w:firstLineChars="200"/>
        <w:rPr>
          <w:rFonts w:ascii="黑体" w:eastAsia="黑体" w:cs="Times New Roman"/>
          <w:sz w:val="32"/>
          <w:szCs w:val="32"/>
        </w:rPr>
      </w:pPr>
      <w:r>
        <w:rPr>
          <w:rFonts w:hint="eastAsia" w:ascii="黑体" w:eastAsia="黑体" w:cs="黑体"/>
          <w:sz w:val="32"/>
          <w:szCs w:val="32"/>
          <w:lang w:eastAsia="zh-CN"/>
        </w:rPr>
        <w:t>九</w:t>
      </w:r>
      <w:r>
        <w:rPr>
          <w:rFonts w:hint="eastAsia" w:ascii="黑体" w:eastAsia="黑体" w:cs="黑体"/>
          <w:sz w:val="32"/>
          <w:szCs w:val="32"/>
        </w:rPr>
        <w:t>、政府性基金预算支出预算情况说明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年没有使用政府性基金预算拨款安排的支出。</w:t>
      </w:r>
    </w:p>
    <w:p>
      <w:pPr>
        <w:ind w:firstLine="709"/>
        <w:rPr>
          <w:rFonts w:ascii="黑体" w:eastAsia="黑体" w:cs="Times New Roman"/>
          <w:sz w:val="32"/>
          <w:szCs w:val="32"/>
        </w:rPr>
      </w:pPr>
      <w:r>
        <w:rPr>
          <w:rFonts w:hint="eastAsia" w:ascii="黑体" w:eastAsia="黑体" w:cs="黑体"/>
          <w:sz w:val="32"/>
          <w:szCs w:val="32"/>
          <w:lang w:eastAsia="zh-CN"/>
        </w:rPr>
        <w:t>十</w:t>
      </w:r>
      <w:r>
        <w:rPr>
          <w:rFonts w:hint="eastAsia" w:ascii="黑体" w:eastAsia="黑体" w:cs="黑体"/>
          <w:sz w:val="32"/>
          <w:szCs w:val="32"/>
        </w:rPr>
        <w:t>、其他重要事项的情况说明</w:t>
      </w:r>
    </w:p>
    <w:p>
      <w:pPr>
        <w:ind w:firstLine="709"/>
        <w:rPr>
          <w:rFonts w:hint="eastAsia" w:ascii="仿宋_GB2312" w:eastAsia="仿宋_GB2312" w:cs="仿宋_GB2312"/>
          <w:b/>
          <w:bCs/>
          <w:sz w:val="32"/>
          <w:szCs w:val="32"/>
          <w:lang w:eastAsia="zh-CN"/>
        </w:rPr>
      </w:pPr>
      <w:r>
        <w:rPr>
          <w:rFonts w:hint="eastAsia" w:ascii="仿宋_GB2312" w:eastAsia="仿宋_GB2312" w:cs="仿宋_GB2312"/>
          <w:b/>
          <w:bCs/>
          <w:sz w:val="32"/>
          <w:szCs w:val="32"/>
        </w:rPr>
        <w:t>（一）</w:t>
      </w:r>
      <w:r>
        <w:rPr>
          <w:rFonts w:hint="eastAsia" w:ascii="仿宋_GB2312" w:eastAsia="仿宋_GB2312" w:cs="仿宋_GB2312"/>
          <w:b/>
          <w:bCs/>
          <w:sz w:val="32"/>
          <w:szCs w:val="32"/>
          <w:lang w:eastAsia="zh-CN"/>
        </w:rPr>
        <w:t>机关运行经费支出情况说明</w:t>
      </w:r>
    </w:p>
    <w:p>
      <w:pPr>
        <w:ind w:firstLine="709"/>
        <w:rPr>
          <w:rFonts w:ascii="仿宋_GB2312" w:eastAsia="仿宋_GB2312"/>
          <w:color w:val="auto"/>
          <w:sz w:val="32"/>
          <w:szCs w:val="32"/>
        </w:rPr>
      </w:pPr>
      <w:bookmarkStart w:id="0" w:name="_GoBack"/>
      <w:r>
        <w:rPr>
          <w:rFonts w:hint="eastAsia" w:ascii="Times New Roman" w:hAnsi="Times New Roman" w:eastAsia="仿宋_GB2312" w:cs="Times New Roman"/>
          <w:color w:val="auto"/>
          <w:sz w:val="32"/>
          <w:szCs w:val="32"/>
          <w:lang w:eastAsia="zh-CN"/>
        </w:rPr>
        <w:t>我单位不是行政机关，也不是参照公务员管理事业单位，没有机关运行经费支出。</w:t>
      </w:r>
    </w:p>
    <w:bookmarkEnd w:id="0"/>
    <w:p>
      <w:pPr>
        <w:ind w:firstLine="709"/>
        <w:rPr>
          <w:rFonts w:ascii="仿宋_GB2312" w:eastAsia="仿宋_GB2312" w:cs="Times New Roman"/>
          <w:b/>
          <w:bCs/>
          <w:sz w:val="32"/>
          <w:szCs w:val="32"/>
        </w:rPr>
      </w:pPr>
      <w:r>
        <w:rPr>
          <w:rFonts w:hint="eastAsia" w:ascii="仿宋_GB2312" w:eastAsia="仿宋_GB2312" w:cs="仿宋_GB2312"/>
          <w:b/>
          <w:bCs/>
          <w:sz w:val="32"/>
          <w:szCs w:val="32"/>
        </w:rPr>
        <w:t>（二）政府采购支出情况</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年无政府采购预算安排。</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（三）绩效目标设置情况</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我单位</w:t>
      </w:r>
      <w:r>
        <w:rPr>
          <w:rFonts w:hint="eastAsia" w:ascii="仿宋_GB2312" w:eastAsia="仿宋_GB2312" w:cs="仿宋_GB2312"/>
          <w:sz w:val="32"/>
          <w:szCs w:val="32"/>
          <w:lang w:val="en-US" w:eastAsia="zh-CN"/>
        </w:rPr>
        <w:t>2021年预算，暂未进行项目预算绩效管理工作</w:t>
      </w:r>
      <w:r>
        <w:rPr>
          <w:rFonts w:hint="eastAsia" w:ascii="仿宋_GB2312" w:eastAsia="仿宋_GB2312" w:cs="仿宋_GB2312"/>
          <w:sz w:val="32"/>
          <w:szCs w:val="32"/>
        </w:rPr>
        <w:t>。</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（四）国有资产占用情况</w:t>
      </w:r>
    </w:p>
    <w:p>
      <w:pPr>
        <w:ind w:firstLine="709"/>
        <w:rPr>
          <w:rFonts w:ascii="仿宋_GB2312" w:eastAsia="仿宋_GB2312" w:cs="Times New Roman"/>
          <w:color w:val="auto"/>
          <w:sz w:val="32"/>
          <w:szCs w:val="32"/>
          <w:highlight w:val="yellow"/>
        </w:rPr>
      </w:pPr>
      <w:r>
        <w:rPr>
          <w:rFonts w:ascii="仿宋_GB2312" w:eastAsia="仿宋_GB2312" w:cs="仿宋_GB2312"/>
          <w:color w:val="auto"/>
          <w:sz w:val="32"/>
          <w:szCs w:val="32"/>
        </w:rPr>
        <w:t>202</w:t>
      </w:r>
      <w:r>
        <w:rPr>
          <w:rFonts w:hint="eastAsia" w:ascii="仿宋_GB2312" w:eastAsia="仿宋_GB2312" w:cs="仿宋_GB2312"/>
          <w:color w:val="auto"/>
          <w:sz w:val="32"/>
          <w:szCs w:val="32"/>
          <w:lang w:val="en-US" w:eastAsia="zh-CN"/>
        </w:rPr>
        <w:t>0</w:t>
      </w:r>
      <w:r>
        <w:rPr>
          <w:rFonts w:hint="eastAsia" w:ascii="仿宋_GB2312" w:eastAsia="仿宋_GB2312" w:cs="仿宋_GB2312"/>
          <w:color w:val="auto"/>
          <w:sz w:val="32"/>
          <w:szCs w:val="32"/>
        </w:rPr>
        <w:t>年期末，我单位共有车辆</w:t>
      </w:r>
      <w:r>
        <w:rPr>
          <w:rFonts w:ascii="仿宋_GB2312" w:eastAsia="仿宋_GB2312" w:cs="仿宋_GB2312"/>
          <w:color w:val="auto"/>
          <w:sz w:val="32"/>
          <w:szCs w:val="32"/>
        </w:rPr>
        <w:t>0</w:t>
      </w:r>
      <w:r>
        <w:rPr>
          <w:rFonts w:hint="eastAsia" w:ascii="仿宋_GB2312" w:eastAsia="仿宋_GB2312" w:cs="仿宋_GB2312"/>
          <w:color w:val="auto"/>
          <w:sz w:val="32"/>
          <w:szCs w:val="32"/>
        </w:rPr>
        <w:t>辆，其中：一般公务用车</w:t>
      </w:r>
      <w:r>
        <w:rPr>
          <w:rFonts w:ascii="仿宋_GB2312" w:eastAsia="仿宋_GB2312" w:cs="仿宋_GB2312"/>
          <w:color w:val="auto"/>
          <w:sz w:val="32"/>
          <w:szCs w:val="32"/>
        </w:rPr>
        <w:t>0</w:t>
      </w:r>
      <w:r>
        <w:rPr>
          <w:rFonts w:hint="eastAsia" w:ascii="仿宋_GB2312" w:eastAsia="仿宋_GB2312" w:cs="仿宋_GB2312"/>
          <w:color w:val="auto"/>
          <w:sz w:val="32"/>
          <w:szCs w:val="32"/>
        </w:rPr>
        <w:t>辆、一般执法执勤车辆</w:t>
      </w:r>
      <w:r>
        <w:rPr>
          <w:rFonts w:ascii="仿宋_GB2312" w:eastAsia="仿宋_GB2312" w:cs="仿宋_GB2312"/>
          <w:color w:val="auto"/>
          <w:sz w:val="32"/>
          <w:szCs w:val="32"/>
        </w:rPr>
        <w:t>0</w:t>
      </w:r>
      <w:r>
        <w:rPr>
          <w:rFonts w:hint="eastAsia" w:ascii="仿宋_GB2312" w:eastAsia="仿宋_GB2312" w:cs="仿宋_GB2312"/>
          <w:color w:val="auto"/>
          <w:sz w:val="32"/>
          <w:szCs w:val="32"/>
        </w:rPr>
        <w:t>辆、特种专业技术用车</w:t>
      </w:r>
      <w:r>
        <w:rPr>
          <w:rFonts w:ascii="仿宋_GB2312" w:eastAsia="仿宋_GB2312" w:cs="仿宋_GB2312"/>
          <w:color w:val="auto"/>
          <w:sz w:val="32"/>
          <w:szCs w:val="32"/>
        </w:rPr>
        <w:t>0</w:t>
      </w:r>
      <w:r>
        <w:rPr>
          <w:rFonts w:hint="eastAsia" w:ascii="仿宋_GB2312" w:eastAsia="仿宋_GB2312" w:cs="仿宋_GB2312"/>
          <w:color w:val="auto"/>
          <w:sz w:val="32"/>
          <w:szCs w:val="32"/>
        </w:rPr>
        <w:t>辆、其他用车</w:t>
      </w:r>
      <w:r>
        <w:rPr>
          <w:rFonts w:ascii="仿宋_GB2312" w:eastAsia="仿宋_GB2312" w:cs="仿宋_GB2312"/>
          <w:color w:val="auto"/>
          <w:sz w:val="32"/>
          <w:szCs w:val="32"/>
        </w:rPr>
        <w:t>0</w:t>
      </w:r>
      <w:r>
        <w:rPr>
          <w:rFonts w:hint="eastAsia" w:ascii="仿宋_GB2312" w:eastAsia="仿宋_GB2312" w:cs="仿宋_GB2312"/>
          <w:color w:val="auto"/>
          <w:sz w:val="32"/>
          <w:szCs w:val="32"/>
        </w:rPr>
        <w:t>辆，其他用车主要是离退休干部用车</w:t>
      </w:r>
      <w:r>
        <w:rPr>
          <w:rFonts w:ascii="仿宋_GB2312" w:eastAsia="仿宋_GB2312" w:cs="仿宋_GB2312"/>
          <w:color w:val="auto"/>
          <w:sz w:val="32"/>
          <w:szCs w:val="32"/>
        </w:rPr>
        <w:t>0</w:t>
      </w:r>
      <w:r>
        <w:rPr>
          <w:rFonts w:hint="eastAsia" w:ascii="仿宋_GB2312" w:eastAsia="仿宋_GB2312" w:cs="仿宋_GB2312"/>
          <w:color w:val="auto"/>
          <w:sz w:val="32"/>
          <w:szCs w:val="32"/>
        </w:rPr>
        <w:t>辆、应急保障车辆</w:t>
      </w:r>
      <w:r>
        <w:rPr>
          <w:rFonts w:ascii="仿宋_GB2312" w:eastAsia="仿宋_GB2312" w:cs="仿宋_GB2312"/>
          <w:color w:val="auto"/>
          <w:sz w:val="32"/>
          <w:szCs w:val="32"/>
        </w:rPr>
        <w:t>0</w:t>
      </w:r>
      <w:r>
        <w:rPr>
          <w:rFonts w:hint="eastAsia" w:ascii="仿宋_GB2312" w:eastAsia="仿宋_GB2312" w:cs="仿宋_GB2312"/>
          <w:color w:val="auto"/>
          <w:sz w:val="32"/>
          <w:szCs w:val="32"/>
        </w:rPr>
        <w:t>辆。单价</w:t>
      </w:r>
      <w:r>
        <w:rPr>
          <w:rFonts w:ascii="仿宋_GB2312" w:eastAsia="仿宋_GB2312" w:cs="仿宋_GB2312"/>
          <w:color w:val="auto"/>
          <w:sz w:val="32"/>
          <w:szCs w:val="32"/>
        </w:rPr>
        <w:t>50</w:t>
      </w:r>
      <w:r>
        <w:rPr>
          <w:rFonts w:hint="eastAsia" w:ascii="仿宋_GB2312" w:eastAsia="仿宋_GB2312" w:cs="仿宋_GB2312"/>
          <w:color w:val="auto"/>
          <w:sz w:val="32"/>
          <w:szCs w:val="32"/>
        </w:rPr>
        <w:t>万元以上通用设备</w:t>
      </w:r>
      <w:r>
        <w:rPr>
          <w:rFonts w:ascii="仿宋_GB2312" w:eastAsia="仿宋_GB2312" w:cs="仿宋_GB2312"/>
          <w:color w:val="auto"/>
          <w:sz w:val="32"/>
          <w:szCs w:val="32"/>
        </w:rPr>
        <w:t>0</w:t>
      </w:r>
      <w:r>
        <w:rPr>
          <w:rFonts w:hint="eastAsia" w:ascii="仿宋_GB2312" w:eastAsia="仿宋_GB2312" w:cs="仿宋_GB2312"/>
          <w:color w:val="auto"/>
          <w:sz w:val="32"/>
          <w:szCs w:val="32"/>
        </w:rPr>
        <w:t>套，单位价值</w:t>
      </w:r>
      <w:r>
        <w:rPr>
          <w:rFonts w:ascii="仿宋_GB2312" w:eastAsia="仿宋_GB2312" w:cs="仿宋_GB2312"/>
          <w:color w:val="auto"/>
          <w:sz w:val="32"/>
          <w:szCs w:val="32"/>
        </w:rPr>
        <w:t>100</w:t>
      </w:r>
      <w:r>
        <w:rPr>
          <w:rFonts w:hint="eastAsia" w:ascii="仿宋_GB2312" w:eastAsia="仿宋_GB2312" w:cs="仿宋_GB2312"/>
          <w:color w:val="auto"/>
          <w:sz w:val="32"/>
          <w:szCs w:val="32"/>
        </w:rPr>
        <w:t>万元以上专用设备</w:t>
      </w:r>
      <w:r>
        <w:rPr>
          <w:rFonts w:ascii="仿宋_GB2312" w:eastAsia="仿宋_GB2312" w:cs="仿宋_GB2312"/>
          <w:color w:val="auto"/>
          <w:sz w:val="32"/>
          <w:szCs w:val="32"/>
        </w:rPr>
        <w:t>0</w:t>
      </w:r>
      <w:r>
        <w:rPr>
          <w:rFonts w:hint="eastAsia" w:ascii="仿宋_GB2312" w:eastAsia="仿宋_GB2312" w:cs="仿宋_GB2312"/>
          <w:color w:val="auto"/>
          <w:sz w:val="32"/>
          <w:szCs w:val="32"/>
        </w:rPr>
        <w:t>套。</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（五）专项转移支付情况</w:t>
      </w:r>
    </w:p>
    <w:p>
      <w:pPr>
        <w:ind w:firstLine="700" w:firstLineChars="219"/>
        <w:rPr>
          <w:rFonts w:ascii="黑体" w:hAnsi="宋体" w:eastAsia="黑体" w:cs="Times New Roman"/>
          <w:sz w:val="32"/>
          <w:szCs w:val="32"/>
        </w:rPr>
      </w:pPr>
      <w:r>
        <w:rPr>
          <w:rFonts w:hint="eastAsia" w:ascii="仿宋_GB2312" w:eastAsia="仿宋_GB2312" w:cs="仿宋_GB2312"/>
          <w:sz w:val="32"/>
          <w:szCs w:val="32"/>
        </w:rPr>
        <w:t>我单位暂无负责的专项转移支付项目。</w:t>
      </w:r>
    </w:p>
    <w:p>
      <w:pPr>
        <w:ind w:firstLine="709"/>
        <w:jc w:val="center"/>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709"/>
        <w:rPr>
          <w:rFonts w:ascii="仿宋_GB2312" w:eastAsia="仿宋_GB2312" w:cs="Times New Roman"/>
          <w:sz w:val="32"/>
          <w:szCs w:val="32"/>
        </w:rPr>
      </w:pPr>
      <w:r>
        <w:rPr>
          <w:rFonts w:hint="eastAsia" w:ascii="仿宋_GB2312" w:eastAsia="仿宋_GB2312" w:cs="仿宋_GB2312"/>
          <w:sz w:val="32"/>
          <w:szCs w:val="32"/>
        </w:rPr>
        <w:t>一、财政拨款收入：是指市级财政当年拨付的资金</w:t>
      </w:r>
      <w:r>
        <w:rPr>
          <w:rFonts w:ascii="仿宋_GB2312" w:eastAsia="仿宋_GB2312" w:cs="仿宋_GB2312"/>
          <w:sz w:val="32"/>
          <w:szCs w:val="32"/>
        </w:rPr>
        <w:t>;</w:t>
      </w:r>
      <w:r>
        <w:rPr>
          <w:rFonts w:hint="eastAsia" w:ascii="仿宋_GB2312" w:eastAsia="仿宋_GB2312" w:cs="仿宋_GB2312"/>
          <w:sz w:val="32"/>
          <w:szCs w:val="32"/>
        </w:rPr>
        <w:t>包括一般公共预算财政拨款、政府性基金预算拨款、国有资本经营预算拨款。</w:t>
      </w:r>
    </w:p>
    <w:p>
      <w:pPr>
        <w:ind w:firstLine="709"/>
        <w:rPr>
          <w:rFonts w:ascii="仿宋_GB2312" w:eastAsia="仿宋_GB2312" w:cs="Times New Roman"/>
          <w:sz w:val="32"/>
          <w:szCs w:val="32"/>
        </w:rPr>
      </w:pPr>
      <w:r>
        <w:rPr>
          <w:rFonts w:hint="eastAsia" w:ascii="仿宋_GB2312" w:eastAsia="仿宋_GB2312" w:cs="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cs="Times New Roman"/>
          <w:sz w:val="32"/>
          <w:szCs w:val="32"/>
        </w:rPr>
      </w:pPr>
      <w:r>
        <w:rPr>
          <w:rFonts w:hint="eastAsia" w:ascii="仿宋_GB2312" w:eastAsia="仿宋_GB2312" w:cs="仿宋_GB2312"/>
          <w:sz w:val="32"/>
          <w:szCs w:val="32"/>
        </w:rPr>
        <w:t>三、事业收入：是指事业单位开展专业活动及辅助活动所取得的收入，不包括教育收费。</w:t>
      </w:r>
    </w:p>
    <w:p>
      <w:pPr>
        <w:ind w:firstLine="709"/>
        <w:rPr>
          <w:rFonts w:ascii="仿宋_GB2312" w:eastAsia="仿宋_GB2312" w:cs="Times New Roman"/>
          <w:sz w:val="32"/>
          <w:szCs w:val="32"/>
        </w:rPr>
      </w:pPr>
      <w:r>
        <w:rPr>
          <w:rFonts w:hint="eastAsia" w:ascii="仿宋_GB2312" w:eastAsia="仿宋_GB2312" w:cs="仿宋_GB2312"/>
          <w:sz w:val="32"/>
          <w:szCs w:val="32"/>
        </w:rPr>
        <w:t>四、事业单位经营收入：是指事业单位在专业业务活动及其辅助活动之外开展独立核算经营活动取得的收入。</w:t>
      </w:r>
    </w:p>
    <w:p>
      <w:pPr>
        <w:ind w:firstLine="709"/>
        <w:rPr>
          <w:rFonts w:ascii="仿宋_GB2312" w:eastAsia="仿宋_GB2312" w:cs="Times New Roman"/>
          <w:sz w:val="32"/>
          <w:szCs w:val="32"/>
        </w:rPr>
      </w:pPr>
      <w:r>
        <w:rPr>
          <w:rFonts w:hint="eastAsia" w:ascii="仿宋_GB2312" w:eastAsia="仿宋_GB2312" w:cs="仿宋_GB2312"/>
          <w:sz w:val="32"/>
          <w:szCs w:val="32"/>
        </w:rPr>
        <w:t>五、其他收入：是指单位取得的除“财政拨款”、“事业收入”、“事业单位经营收入”等以外的收入。</w:t>
      </w:r>
    </w:p>
    <w:p>
      <w:pPr>
        <w:ind w:firstLine="709"/>
        <w:rPr>
          <w:rFonts w:ascii="仿宋_GB2312" w:eastAsia="仿宋_GB2312" w:cs="Times New Roman"/>
          <w:sz w:val="32"/>
          <w:szCs w:val="32"/>
        </w:rPr>
      </w:pPr>
      <w:r>
        <w:rPr>
          <w:rFonts w:hint="eastAsia" w:asci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cs="Times New Roman"/>
          <w:sz w:val="32"/>
          <w:szCs w:val="32"/>
        </w:rPr>
      </w:pPr>
      <w:r>
        <w:rPr>
          <w:rFonts w:hint="eastAsia" w:ascii="仿宋_GB2312" w:eastAsia="仿宋_GB2312" w:cs="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cs="Times New Roman"/>
          <w:sz w:val="32"/>
          <w:szCs w:val="32"/>
        </w:rPr>
      </w:pPr>
      <w:r>
        <w:rPr>
          <w:rFonts w:hint="eastAsia" w:ascii="仿宋_GB2312" w:eastAsia="仿宋_GB2312" w:cs="仿宋_GB2312"/>
          <w:sz w:val="32"/>
          <w:szCs w:val="32"/>
        </w:rPr>
        <w:t>八、项目支出：是指在基本支出之外，为完成特定的行政工作任务或事业发展目标所发生的支出。</w:t>
      </w:r>
    </w:p>
    <w:p>
      <w:pPr>
        <w:ind w:firstLine="709"/>
        <w:rPr>
          <w:rFonts w:ascii="仿宋_GB2312" w:eastAsia="仿宋_GB2312" w:cs="Times New Roman"/>
          <w:sz w:val="32"/>
          <w:szCs w:val="32"/>
        </w:rPr>
      </w:pPr>
      <w:r>
        <w:rPr>
          <w:rFonts w:hint="eastAsia" w:ascii="仿宋_GB2312" w:eastAsia="仿宋_GB2312" w:cs="仿宋_GB2312"/>
          <w:sz w:val="32"/>
          <w:szCs w:val="32"/>
        </w:rPr>
        <w:t>九、“三公”经费：是指纳入本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cs="Times New Roman"/>
          <w:sz w:val="32"/>
          <w:szCs w:val="32"/>
        </w:rPr>
      </w:pPr>
      <w:r>
        <w:rPr>
          <w:rFonts w:hint="eastAsia" w:ascii="仿宋_GB2312" w:eastAsia="仿宋_GB2312" w:cs="仿宋_GB2312"/>
          <w:sz w:val="32"/>
          <w:szCs w:val="32"/>
        </w:rPr>
        <w:t>十、</w:t>
      </w:r>
      <w:r>
        <w:rPr>
          <w:rFonts w:hint="eastAsia" w:ascii="仿宋_GB2312" w:eastAsia="仿宋_GB2312" w:cs="仿宋_GB2312"/>
          <w:sz w:val="32"/>
          <w:szCs w:val="32"/>
          <w:lang w:eastAsia="zh-CN"/>
        </w:rPr>
        <w:t>机关运行</w:t>
      </w:r>
      <w:r>
        <w:rPr>
          <w:rFonts w:hint="eastAsia" w:ascii="仿宋_GB2312" w:eastAsia="仿宋_GB2312" w:cs="仿宋_GB2312"/>
          <w:sz w:val="32"/>
          <w:szCs w:val="32"/>
        </w:rPr>
        <w:t>经费：是指为保障</w:t>
      </w:r>
      <w:r>
        <w:rPr>
          <w:rFonts w:hint="eastAsia" w:ascii="仿宋_GB2312" w:eastAsia="仿宋_GB2312" w:cs="仿宋_GB2312"/>
          <w:sz w:val="32"/>
          <w:szCs w:val="32"/>
          <w:lang w:eastAsia="zh-CN"/>
        </w:rPr>
        <w:t>行政</w:t>
      </w:r>
      <w:r>
        <w:rPr>
          <w:rFonts w:hint="eastAsia" w:ascii="仿宋_GB2312" w:eastAsia="仿宋_GB2312" w:cs="仿宋_GB2312"/>
          <w:sz w:val="32"/>
          <w:szCs w:val="32"/>
        </w:rPr>
        <w:t>单位（</w:t>
      </w:r>
      <w:r>
        <w:rPr>
          <w:rFonts w:hint="eastAsia" w:ascii="仿宋_GB2312" w:eastAsia="仿宋_GB2312" w:cs="仿宋_GB2312"/>
          <w:sz w:val="32"/>
          <w:szCs w:val="32"/>
          <w:lang w:eastAsia="zh-CN"/>
        </w:rPr>
        <w:t>含参照公务员法管理的</w:t>
      </w:r>
      <w:r>
        <w:rPr>
          <w:rFonts w:hint="eastAsia" w:ascii="仿宋_GB2312" w:eastAsia="仿宋_GB2312" w:cs="仿宋_GB2312"/>
          <w:sz w:val="32"/>
          <w:szCs w:val="32"/>
        </w:rPr>
        <w:t>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cs="Times New Roman"/>
          <w:sz w:val="32"/>
          <w:szCs w:val="32"/>
        </w:rPr>
      </w:pPr>
    </w:p>
    <w:p>
      <w:pPr>
        <w:rPr>
          <w:rFonts w:ascii="仿宋_GB2312" w:hAnsi="宋体" w:eastAsia="仿宋_GB2312" w:cs="Times New Roman"/>
          <w:sz w:val="32"/>
          <w:szCs w:val="32"/>
        </w:rPr>
      </w:pPr>
      <w:r>
        <w:rPr>
          <w:rFonts w:hint="eastAsia" w:ascii="黑体" w:hAnsi="宋体" w:eastAsia="黑体" w:cs="黑体"/>
          <w:sz w:val="32"/>
          <w:szCs w:val="32"/>
        </w:rPr>
        <w:t>附件</w:t>
      </w:r>
      <w:r>
        <w:rPr>
          <w:rFonts w:hint="eastAsia" w:ascii="仿宋_GB2312" w:hAnsi="宋体" w:eastAsia="仿宋_GB2312" w:cs="仿宋_GB2312"/>
          <w:sz w:val="32"/>
          <w:szCs w:val="32"/>
        </w:rPr>
        <w:t>：</w:t>
      </w:r>
      <w:r>
        <w:rPr>
          <w:rFonts w:ascii="仿宋_GB2312" w:hAnsi="宋体" w:eastAsia="仿宋_GB2312" w:cs="仿宋_GB2312"/>
          <w:sz w:val="32"/>
          <w:szCs w:val="32"/>
        </w:rPr>
        <w:t>2021</w:t>
      </w:r>
      <w:r>
        <w:rPr>
          <w:rFonts w:hint="eastAsia" w:ascii="仿宋_GB2312" w:hAnsi="宋体" w:eastAsia="仿宋_GB2312" w:cs="仿宋_GB2312"/>
          <w:sz w:val="32"/>
          <w:szCs w:val="32"/>
        </w:rPr>
        <w:t>年度单位预算表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一、单位收支总体情况表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二、单位收入总体情况表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三、单位支出总体情况表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四、财政拨款收支总体情况表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五、一般公共预算支出情况表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六、一般公共预算基本支出情况表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七、一般公共预算“三公”经费支出情况表</w:t>
      </w:r>
    </w:p>
    <w:p>
      <w:pPr>
        <w:snapToGrid w:val="0"/>
        <w:spacing w:line="360" w:lineRule="auto"/>
        <w:ind w:firstLine="425" w:firstLineChars="133"/>
        <w:rPr>
          <w:rFonts w:ascii="仿宋_GB2312" w:hAnsi="宋体" w:eastAsia="仿宋_GB2312" w:cs="Times New Roman"/>
          <w:sz w:val="28"/>
          <w:szCs w:val="28"/>
        </w:rPr>
      </w:pPr>
      <w:r>
        <w:rPr>
          <w:rFonts w:hint="eastAsia" w:ascii="仿宋_GB2312" w:hAnsi="宋体" w:eastAsia="仿宋_GB2312" w:cs="仿宋_GB2312"/>
          <w:sz w:val="32"/>
          <w:szCs w:val="32"/>
        </w:rPr>
        <w:t>八、政府性基金预算支出情况表</w:t>
      </w:r>
    </w:p>
    <w:p>
      <w:pPr>
        <w:snapToGrid w:val="0"/>
        <w:spacing w:line="360" w:lineRule="auto"/>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snapToGrid w:val="0"/>
        <w:spacing w:line="360" w:lineRule="auto"/>
        <w:ind w:firstLine="425" w:firstLineChars="133"/>
        <w:rPr>
          <w:rFonts w:hint="eastAsia" w:ascii="仿宋_GB2312" w:hAnsi="宋体" w:eastAsia="仿宋_GB2312" w:cs="Times New Roman"/>
          <w:sz w:val="32"/>
          <w:szCs w:val="32"/>
          <w:lang w:eastAsia="zh-CN"/>
        </w:rPr>
      </w:pPr>
      <w:r>
        <w:rPr>
          <w:rFonts w:hint="eastAsia" w:ascii="仿宋_GB2312" w:hAnsi="宋体" w:eastAsia="仿宋_GB2312" w:cs="Times New Roman"/>
          <w:kern w:val="2"/>
          <w:sz w:val="32"/>
          <w:szCs w:val="32"/>
          <w:lang w:val="en-US" w:eastAsia="zh-CN" w:bidi="ar-SA"/>
        </w:rPr>
        <w:object>
          <v:shape id="_x0000_i1025" o:spt="75" type="#_x0000_t75" style="height:66pt;width:72.75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p>
    <w:p>
      <w:pPr>
        <w:snapToGrid w:val="0"/>
        <w:spacing w:line="360" w:lineRule="auto"/>
        <w:ind w:firstLine="425" w:firstLineChars="133"/>
        <w:rPr>
          <w:rFonts w:ascii="仿宋_GB2312" w:hAnsi="宋体" w:eastAsia="仿宋_GB2312" w:cs="Times New Roman"/>
          <w:sz w:val="32"/>
          <w:szCs w:val="32"/>
        </w:rPr>
      </w:pPr>
    </w:p>
    <w:p>
      <w:pPr>
        <w:snapToGrid w:val="0"/>
        <w:spacing w:line="360" w:lineRule="auto"/>
        <w:ind w:firstLine="425" w:firstLineChars="133"/>
        <w:rPr>
          <w:rFonts w:ascii="仿宋_GB2312" w:hAnsi="宋体" w:eastAsia="仿宋_GB2312" w:cs="Times New Roman"/>
          <w:sz w:val="32"/>
          <w:szCs w:val="32"/>
        </w:rPr>
      </w:pPr>
    </w:p>
    <w:p>
      <w:pPr>
        <w:rPr>
          <w:rFonts w:cs="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rFonts w:ascii="Calibri" w:hAnsi="Calibri" w:eastAsia="宋体" w:cs="Calibri"/>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cs="Times New Roman"/>
                            </w:rPr>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3"/>
                      <w:rPr>
                        <w:rFonts w:cs="Times New Roman"/>
                      </w:rPr>
                    </w:pPr>
                    <w:r>
                      <w:fldChar w:fldCharType="begin"/>
                    </w:r>
                    <w:r>
                      <w:instrText xml:space="preserve"> PAGE  \* MERGEFORMAT </w:instrText>
                    </w:r>
                    <w:r>
                      <w:fldChar w:fldCharType="separate"/>
                    </w:r>
                    <w:r>
                      <w:t>7</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MjZkOGRkMTkxZWQ1OTA3OWQxMDRkZDQ3YjEyZDkifQ=="/>
  </w:docVars>
  <w:rsids>
    <w:rsidRoot w:val="00000000"/>
    <w:rsid w:val="0E0802A4"/>
    <w:rsid w:val="10B253DF"/>
    <w:rsid w:val="123D6243"/>
    <w:rsid w:val="15787ABD"/>
    <w:rsid w:val="16CE4A35"/>
    <w:rsid w:val="1AB3796F"/>
    <w:rsid w:val="1D3058D7"/>
    <w:rsid w:val="333472BA"/>
    <w:rsid w:val="35D703D8"/>
    <w:rsid w:val="456B28EB"/>
    <w:rsid w:val="5CBF10FA"/>
    <w:rsid w:val="5E2723DA"/>
    <w:rsid w:val="608A5EC3"/>
    <w:rsid w:val="6B111060"/>
    <w:rsid w:val="6EE669BA"/>
    <w:rsid w:val="786B48D2"/>
    <w:rsid w:val="7E682F48"/>
    <w:rsid w:val="7F6678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99"/>
    <w:pPr>
      <w:ind w:firstLine="420"/>
    </w:pPr>
  </w:style>
  <w:style w:type="character" w:customStyle="1" w:styleId="8">
    <w:name w:val="Balloon Text Char Char"/>
    <w:basedOn w:val="6"/>
    <w:link w:val="2"/>
    <w:qFormat/>
    <w:uiPriority w:val="99"/>
    <w:rPr>
      <w:sz w:val="18"/>
      <w:szCs w:val="18"/>
    </w:rPr>
  </w:style>
  <w:style w:type="character" w:customStyle="1" w:styleId="9">
    <w:name w:val="Footer Char"/>
    <w:basedOn w:val="6"/>
    <w:link w:val="3"/>
    <w:qFormat/>
    <w:uiPriority w:val="99"/>
    <w:rPr>
      <w:sz w:val="18"/>
      <w:szCs w:val="18"/>
    </w:rPr>
  </w:style>
  <w:style w:type="character" w:customStyle="1" w:styleId="10">
    <w:name w:val="Header Char"/>
    <w:basedOn w:val="6"/>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8</Pages>
  <Words>2561</Words>
  <Characters>2763</Characters>
  <Lines>0</Lines>
  <Paragraphs>0</Paragraphs>
  <TotalTime>2</TotalTime>
  <ScaleCrop>false</ScaleCrop>
  <LinksUpToDate>false</LinksUpToDate>
  <CharactersWithSpaces>2773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2022-08-28T04:34:00Z</cp:lastPrinted>
  <dcterms:modified xsi:type="dcterms:W3CDTF">2022-09-08T10:10:00Z</dcterms:modified>
  <dc:title>邓州市2021年城乡居民医疗保险中心单位预算基本情况说明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DE16BD3B8A6742688CC9DD214D8438A9</vt:lpwstr>
  </property>
</Properties>
</file>