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8"/>
          <w:szCs w:val="28"/>
        </w:rPr>
      </w:pPr>
      <w:r>
        <w:rPr>
          <w:rFonts w:hint="eastAsia" w:ascii="方正小标宋简体" w:hAnsi="黑体" w:eastAsia="方正小标宋简体" w:cs="方正小标宋简体"/>
          <w:w w:val="90"/>
          <w:sz w:val="44"/>
          <w:szCs w:val="44"/>
        </w:rPr>
        <w:t>邓州市</w:t>
      </w:r>
      <w:r>
        <w:rPr>
          <w:rFonts w:ascii="方正小标宋简体" w:hAnsi="黑体" w:eastAsia="方正小标宋简体" w:cs="方正小标宋简体"/>
          <w:w w:val="90"/>
          <w:sz w:val="44"/>
          <w:szCs w:val="44"/>
        </w:rPr>
        <w:t>2021</w:t>
      </w:r>
      <w:r>
        <w:rPr>
          <w:rFonts w:hint="eastAsia" w:ascii="方正小标宋简体" w:hAnsi="黑体" w:eastAsia="方正小标宋简体" w:cs="方正小标宋简体"/>
          <w:w w:val="90"/>
          <w:sz w:val="44"/>
          <w:szCs w:val="44"/>
        </w:rPr>
        <w:t>年机关事业单位社会保险管理处单位预算基本情况说明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邓州市机关事业单位社会保险管理处概况</w:t>
      </w:r>
    </w:p>
    <w:p>
      <w:pPr>
        <w:pStyle w:val="7"/>
        <w:numPr>
          <w:ilvl w:val="0"/>
          <w:numId w:val="1"/>
        </w:numPr>
        <w:jc w:val="left"/>
        <w:rPr>
          <w:rFonts w:ascii="仿宋_GB2312" w:hAnsi="宋体" w:eastAsia="仿宋_GB2312" w:cs="Times New Roman"/>
          <w:sz w:val="32"/>
          <w:szCs w:val="32"/>
        </w:rPr>
      </w:pPr>
      <w:r>
        <w:rPr>
          <w:rFonts w:hint="eastAsia" w:ascii="仿宋_GB2312" w:hAnsi="宋体" w:eastAsia="仿宋_GB2312" w:cs="仿宋_GB2312"/>
          <w:sz w:val="32"/>
          <w:szCs w:val="32"/>
        </w:rPr>
        <w:t>主要职责</w:t>
      </w:r>
    </w:p>
    <w:p>
      <w:pPr>
        <w:pStyle w:val="7"/>
        <w:numPr>
          <w:ilvl w:val="0"/>
          <w:numId w:val="1"/>
        </w:numPr>
        <w:jc w:val="left"/>
        <w:rPr>
          <w:rFonts w:ascii="仿宋_GB2312" w:hAnsi="宋体" w:eastAsia="仿宋_GB2312" w:cs="Times New Roman"/>
          <w:sz w:val="32"/>
          <w:szCs w:val="32"/>
        </w:rPr>
      </w:pPr>
      <w:r>
        <w:rPr>
          <w:rFonts w:hint="eastAsia" w:ascii="仿宋_GB2312" w:hAnsi="宋体" w:eastAsia="仿宋_GB2312" w:cs="仿宋_GB2312"/>
          <w:sz w:val="32"/>
          <w:szCs w:val="32"/>
        </w:rPr>
        <w:t>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邓州市机关事业单位社会保险管理处</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九、收入支出总决算</w:t>
      </w:r>
    </w:p>
    <w:p>
      <w:pPr>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6"/>
          <w:szCs w:val="36"/>
        </w:rPr>
      </w:pPr>
      <w:r>
        <w:rPr>
          <w:rFonts w:hint="eastAsia" w:ascii="黑体" w:hAnsi="宋体" w:eastAsia="黑体" w:cs="黑体"/>
          <w:sz w:val="36"/>
          <w:szCs w:val="36"/>
        </w:rPr>
        <w:t>第一部分</w:t>
      </w:r>
    </w:p>
    <w:p>
      <w:pPr>
        <w:jc w:val="center"/>
        <w:rPr>
          <w:rFonts w:ascii="仿宋_GB2312" w:eastAsia="仿宋_GB2312" w:cs="Times New Roman"/>
          <w:b/>
          <w:bCs/>
          <w:sz w:val="36"/>
          <w:szCs w:val="36"/>
        </w:rPr>
      </w:pPr>
      <w:r>
        <w:rPr>
          <w:rFonts w:hint="eastAsia" w:ascii="黑体" w:hAnsi="宋体" w:eastAsia="黑体" w:cs="黑体"/>
          <w:sz w:val="36"/>
          <w:szCs w:val="36"/>
        </w:rPr>
        <w:t>邓州市机关事业单位社会保险管理处概况</w:t>
      </w:r>
    </w:p>
    <w:p>
      <w:pPr>
        <w:widowControl w:val="0"/>
        <w:numPr>
          <w:ilvl w:val="0"/>
          <w:numId w:val="0"/>
        </w:numPr>
        <w:wordWrap/>
        <w:adjustRightInd/>
        <w:snapToGrid/>
        <w:ind w:firstLine="640" w:firstLineChars="200"/>
        <w:textAlignment w:val="auto"/>
        <w:rPr>
          <w:rFonts w:ascii="黑体" w:eastAsia="黑体" w:cs="Times New Roman"/>
          <w:sz w:val="32"/>
          <w:szCs w:val="32"/>
        </w:rPr>
      </w:pPr>
      <w:r>
        <w:rPr>
          <w:rFonts w:hint="eastAsia" w:ascii="黑体" w:eastAsia="黑体" w:cs="黑体"/>
          <w:sz w:val="32"/>
          <w:szCs w:val="32"/>
          <w:lang w:val="en-US" w:eastAsia="zh-CN"/>
        </w:rPr>
        <w:t>一、</w:t>
      </w:r>
      <w:r>
        <w:rPr>
          <w:rFonts w:hint="eastAsia" w:ascii="黑体" w:eastAsia="黑体" w:cs="黑体"/>
          <w:sz w:val="32"/>
          <w:szCs w:val="32"/>
        </w:rPr>
        <w:t>主要职责</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负责机关事业单位及人员参保登记、信息变更业务。</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．负责机关事业单位养老保险关系及职业年金转移接续业务。</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3</w:t>
      </w:r>
      <w:r>
        <w:rPr>
          <w:rFonts w:hint="eastAsia" w:ascii="仿宋_GB2312" w:eastAsia="仿宋_GB2312" w:cs="仿宋_GB2312"/>
          <w:sz w:val="32"/>
          <w:szCs w:val="32"/>
        </w:rPr>
        <w:t>．负责机关事业单位养老保险关系及职业年金征缴计划编制核定业务。</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4</w:t>
      </w:r>
      <w:r>
        <w:rPr>
          <w:rFonts w:hint="eastAsia" w:ascii="仿宋_GB2312" w:eastAsia="仿宋_GB2312" w:cs="仿宋_GB2312"/>
          <w:sz w:val="32"/>
          <w:szCs w:val="32"/>
        </w:rPr>
        <w:t>．负责参保人员账户信息维护及个人权益记录管理、查询业务。</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5</w:t>
      </w:r>
      <w:r>
        <w:rPr>
          <w:rFonts w:hint="eastAsia" w:ascii="仿宋_GB2312" w:eastAsia="仿宋_GB2312" w:cs="仿宋_GB2312"/>
          <w:sz w:val="32"/>
          <w:szCs w:val="32"/>
        </w:rPr>
        <w:t>．负责机关事业单位退休人员养老保险待遇核定及基本养老金调整业务。</w:t>
      </w:r>
    </w:p>
    <w:p>
      <w:pPr>
        <w:widowControl w:val="0"/>
        <w:wordWrap/>
        <w:adjustRightInd/>
        <w:snapToGrid/>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6</w:t>
      </w:r>
      <w:r>
        <w:rPr>
          <w:rFonts w:hint="eastAsia" w:ascii="仿宋_GB2312" w:eastAsia="仿宋_GB2312" w:cs="仿宋_GB2312"/>
          <w:sz w:val="32"/>
          <w:szCs w:val="32"/>
        </w:rPr>
        <w:t>．负责机关事业单位养老保险关系及职业年金基金管理、基金预决算、基金记账报账对账；职业年金归集上解业务。</w:t>
      </w:r>
      <w:r>
        <w:rPr>
          <w:rFonts w:ascii="仿宋_GB2312" w:eastAsia="仿宋_GB2312" w:cs="仿宋_GB2312"/>
          <w:sz w:val="32"/>
          <w:szCs w:val="32"/>
        </w:rPr>
        <w:t xml:space="preserve">  </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7</w:t>
      </w:r>
      <w:r>
        <w:rPr>
          <w:rFonts w:hint="eastAsia" w:ascii="仿宋_GB2312" w:eastAsia="仿宋_GB2312" w:cs="仿宋_GB2312"/>
          <w:sz w:val="32"/>
          <w:szCs w:val="32"/>
        </w:rPr>
        <w:t>．负责参保单位及人员养老保险费、职业年金缴纳情况和退休待遇领取资格认证、各类疑点数据的核实处理、基金管理风险防控、稽核内控等业务。</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8</w:t>
      </w:r>
      <w:r>
        <w:rPr>
          <w:rFonts w:hint="eastAsia" w:ascii="仿宋_GB2312" w:eastAsia="仿宋_GB2312" w:cs="仿宋_GB2312"/>
          <w:sz w:val="32"/>
          <w:szCs w:val="32"/>
        </w:rPr>
        <w:t>．负责机关事业单位在职及退休人员死亡一次性抚恤金和遗属补助金发放业务。</w:t>
      </w:r>
    </w:p>
    <w:p>
      <w:pPr>
        <w:widowControl w:val="0"/>
        <w:wordWrap/>
        <w:adjustRightInd/>
        <w:snapToGrid/>
        <w:ind w:firstLine="640" w:firstLineChars="200"/>
        <w:textAlignment w:val="auto"/>
        <w:rPr>
          <w:rFonts w:ascii="仿宋_GB2312" w:eastAsia="仿宋_GB2312" w:cs="Times New Roman"/>
          <w:sz w:val="32"/>
          <w:szCs w:val="32"/>
        </w:rPr>
      </w:pPr>
      <w:r>
        <w:rPr>
          <w:rFonts w:ascii="仿宋_GB2312" w:eastAsia="仿宋_GB2312" w:cs="仿宋_GB2312"/>
          <w:sz w:val="32"/>
          <w:szCs w:val="32"/>
        </w:rPr>
        <w:t xml:space="preserve"> 9</w:t>
      </w:r>
      <w:r>
        <w:rPr>
          <w:rFonts w:hint="eastAsia" w:ascii="仿宋_GB2312" w:eastAsia="仿宋_GB2312" w:cs="仿宋_GB2312"/>
          <w:sz w:val="32"/>
          <w:szCs w:val="32"/>
        </w:rPr>
        <w:t>．负责各类档案资料的收集、整理、归档、管理业务。</w:t>
      </w:r>
    </w:p>
    <w:p>
      <w:pPr>
        <w:widowControl w:val="0"/>
        <w:wordWrap/>
        <w:adjustRightInd/>
        <w:snapToGrid/>
        <w:ind w:firstLine="640" w:firstLineChars="200"/>
        <w:textAlignment w:val="auto"/>
        <w:rPr>
          <w:rFonts w:ascii="黑体" w:eastAsia="黑体" w:cs="Times New Roman"/>
          <w:sz w:val="32"/>
          <w:szCs w:val="32"/>
        </w:rPr>
      </w:pPr>
      <w:r>
        <w:rPr>
          <w:rFonts w:hint="eastAsia" w:ascii="黑体" w:eastAsia="黑体" w:cs="黑体"/>
          <w:sz w:val="32"/>
          <w:szCs w:val="32"/>
        </w:rPr>
        <w:t>二、单位预算构成情况</w:t>
      </w:r>
    </w:p>
    <w:p>
      <w:pPr>
        <w:ind w:firstLine="566" w:firstLineChars="177"/>
        <w:rPr>
          <w:rFonts w:ascii="仿宋_GB2312" w:eastAsia="仿宋_GB2312" w:cs="Times New Roman"/>
          <w:sz w:val="36"/>
          <w:szCs w:val="36"/>
        </w:rPr>
      </w:pPr>
      <w:r>
        <w:rPr>
          <w:rFonts w:hint="eastAsia" w:ascii="仿宋_GB2312" w:eastAsia="仿宋_GB2312" w:cs="仿宋_GB2312"/>
          <w:sz w:val="32"/>
          <w:szCs w:val="32"/>
        </w:rPr>
        <w:t>邓州市机关事业单位社会保险管理处单位预算包括：稽核审计科、退休管理科、基金征缴科、基金管理科和综合科的预算。</w:t>
      </w:r>
    </w:p>
    <w:p>
      <w:pPr>
        <w:jc w:val="center"/>
        <w:rPr>
          <w:rFonts w:ascii="黑体" w:hAnsi="宋体" w:eastAsia="黑体" w:cs="Times New Roman"/>
          <w:sz w:val="32"/>
          <w:szCs w:val="32"/>
        </w:rPr>
      </w:pPr>
      <w:r>
        <w:rPr>
          <w:rFonts w:hint="eastAsia" w:ascii="黑体" w:hAnsi="宋体" w:eastAsia="黑体" w:cs="黑体"/>
          <w:sz w:val="36"/>
          <w:szCs w:val="36"/>
        </w:rPr>
        <w:t>第二部分</w:t>
      </w:r>
    </w:p>
    <w:p>
      <w:pPr>
        <w:jc w:val="center"/>
        <w:rPr>
          <w:rFonts w:ascii="黑体" w:hAnsi="宋体" w:eastAsia="黑体" w:cs="Times New Roman"/>
          <w:sz w:val="36"/>
          <w:szCs w:val="36"/>
        </w:rPr>
      </w:pPr>
      <w:r>
        <w:rPr>
          <w:rFonts w:hint="eastAsia" w:ascii="黑体" w:hAnsi="宋体" w:eastAsia="黑体" w:cs="黑体"/>
          <w:sz w:val="36"/>
          <w:szCs w:val="36"/>
        </w:rPr>
        <w:t>邓州机关事业单位社会保险管理处</w:t>
      </w:r>
      <w:r>
        <w:rPr>
          <w:rFonts w:ascii="黑体" w:hAnsi="宋体" w:eastAsia="黑体" w:cs="黑体"/>
          <w:sz w:val="36"/>
          <w:szCs w:val="36"/>
        </w:rPr>
        <w:t>2021</w:t>
      </w:r>
      <w:r>
        <w:rPr>
          <w:rFonts w:hint="eastAsia" w:ascii="黑体" w:hAnsi="宋体" w:eastAsia="黑体" w:cs="黑体"/>
          <w:sz w:val="36"/>
          <w:szCs w:val="36"/>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5772.61</w:t>
      </w:r>
      <w:r>
        <w:rPr>
          <w:rFonts w:hint="eastAsia" w:ascii="仿宋_GB2312" w:eastAsia="仿宋_GB2312" w:cs="仿宋_GB2312"/>
          <w:sz w:val="32"/>
          <w:szCs w:val="32"/>
        </w:rPr>
        <w:t>万元，支出总计</w:t>
      </w:r>
      <w:r>
        <w:rPr>
          <w:rFonts w:ascii="仿宋_GB2312" w:eastAsia="仿宋_GB2312" w:cs="仿宋_GB2312"/>
          <w:sz w:val="32"/>
          <w:szCs w:val="32"/>
        </w:rPr>
        <w:t>5772.61</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w:t>
      </w:r>
      <w:r>
        <w:rPr>
          <w:rFonts w:hint="eastAsia" w:ascii="仿宋_GB2312" w:eastAsia="仿宋_GB2312" w:cs="仿宋_GB2312"/>
          <w:color w:val="000000"/>
          <w:sz w:val="32"/>
          <w:szCs w:val="32"/>
        </w:rPr>
        <w:t>降低</w:t>
      </w:r>
      <w:r>
        <w:rPr>
          <w:rFonts w:ascii="仿宋_GB2312" w:eastAsia="仿宋_GB2312" w:cs="仿宋_GB2312"/>
          <w:color w:val="000000"/>
          <w:sz w:val="32"/>
          <w:szCs w:val="32"/>
        </w:rPr>
        <w:t>662.87</w:t>
      </w:r>
      <w:r>
        <w:rPr>
          <w:rFonts w:hint="eastAsia" w:ascii="仿宋_GB2312" w:eastAsia="仿宋_GB2312" w:cs="仿宋_GB2312"/>
          <w:sz w:val="32"/>
          <w:szCs w:val="32"/>
        </w:rPr>
        <w:t>万元。主要原因是：当年预算支出项目调整。</w:t>
      </w:r>
      <w:r>
        <w:rPr>
          <w:rFonts w:ascii="仿宋_GB2312" w:eastAsia="仿宋_GB2312" w:cs="仿宋_GB2312"/>
          <w:sz w:val="32"/>
          <w:szCs w:val="32"/>
        </w:rPr>
        <w:t xml:space="preserve">        </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年收入预算</w:t>
      </w:r>
      <w:r>
        <w:rPr>
          <w:rFonts w:ascii="仿宋_GB2312" w:hAnsi="仿宋_GB2312" w:eastAsia="仿宋_GB2312" w:cs="仿宋_GB2312"/>
          <w:sz w:val="32"/>
          <w:szCs w:val="32"/>
        </w:rPr>
        <w:t>5772.61</w:t>
      </w:r>
      <w:r>
        <w:rPr>
          <w:rFonts w:hint="eastAsia" w:ascii="仿宋_GB2312" w:hAnsi="仿宋_GB2312" w:eastAsia="仿宋_GB2312" w:cs="仿宋_GB2312"/>
          <w:sz w:val="32"/>
          <w:szCs w:val="32"/>
        </w:rPr>
        <w:t>万元，其中：一般公共预算收入</w:t>
      </w:r>
      <w:r>
        <w:rPr>
          <w:rFonts w:ascii="仿宋_GB2312" w:hAnsi="仿宋_GB2312" w:eastAsia="仿宋_GB2312" w:cs="仿宋_GB2312"/>
          <w:sz w:val="32"/>
          <w:szCs w:val="32"/>
        </w:rPr>
        <w:t>5772.61</w:t>
      </w:r>
      <w:r>
        <w:rPr>
          <w:rFonts w:hint="eastAsia" w:ascii="仿宋_GB2312" w:hAnsi="仿宋_GB2312" w:eastAsia="仿宋_GB2312" w:cs="仿宋_GB2312"/>
          <w:sz w:val="32"/>
          <w:szCs w:val="32"/>
        </w:rPr>
        <w:t>万元，</w:t>
      </w:r>
      <w:r>
        <w:rPr>
          <w:rFonts w:hint="eastAsia" w:ascii="仿宋_GB2312" w:eastAsia="仿宋_GB2312" w:cs="仿宋_GB2312"/>
          <w:sz w:val="32"/>
          <w:szCs w:val="32"/>
        </w:rPr>
        <w:t>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5772.61</w:t>
      </w:r>
      <w:r>
        <w:rPr>
          <w:rFonts w:hint="eastAsia" w:ascii="仿宋_GB2312" w:eastAsia="仿宋_GB2312" w:cs="仿宋_GB2312"/>
          <w:sz w:val="32"/>
          <w:szCs w:val="32"/>
        </w:rPr>
        <w:t>万元，其中：基本支出</w:t>
      </w:r>
      <w:r>
        <w:rPr>
          <w:rFonts w:ascii="仿宋_GB2312" w:eastAsia="仿宋_GB2312" w:cs="仿宋_GB2312"/>
          <w:sz w:val="32"/>
          <w:szCs w:val="32"/>
        </w:rPr>
        <w:t>126.71</w:t>
      </w:r>
      <w:r>
        <w:rPr>
          <w:rFonts w:hint="eastAsia" w:ascii="仿宋_GB2312" w:eastAsia="仿宋_GB2312" w:cs="仿宋_GB2312"/>
          <w:sz w:val="32"/>
          <w:szCs w:val="32"/>
        </w:rPr>
        <w:t>万元，占年度计划的</w:t>
      </w:r>
      <w:r>
        <w:rPr>
          <w:rFonts w:ascii="仿宋_GB2312" w:eastAsia="仿宋_GB2312" w:cs="仿宋_GB2312"/>
          <w:sz w:val="32"/>
          <w:szCs w:val="32"/>
        </w:rPr>
        <w:t>2.20 %</w:t>
      </w:r>
      <w:r>
        <w:rPr>
          <w:rFonts w:hint="eastAsia" w:ascii="仿宋_GB2312" w:eastAsia="仿宋_GB2312" w:cs="仿宋_GB2312"/>
          <w:sz w:val="32"/>
          <w:szCs w:val="32"/>
        </w:rPr>
        <w:t>；项目支出</w:t>
      </w:r>
      <w:r>
        <w:rPr>
          <w:rFonts w:ascii="仿宋_GB2312" w:eastAsia="仿宋_GB2312" w:cs="仿宋_GB2312"/>
          <w:sz w:val="32"/>
          <w:szCs w:val="32"/>
        </w:rPr>
        <w:t>5645.90</w:t>
      </w:r>
      <w:r>
        <w:rPr>
          <w:rFonts w:hint="eastAsia" w:ascii="仿宋_GB2312" w:eastAsia="仿宋_GB2312" w:cs="仿宋_GB2312"/>
          <w:sz w:val="32"/>
          <w:szCs w:val="32"/>
        </w:rPr>
        <w:t>万元，占年度计划的</w:t>
      </w:r>
      <w:r>
        <w:rPr>
          <w:rFonts w:ascii="仿宋_GB2312" w:eastAsia="仿宋_GB2312" w:cs="仿宋_GB2312"/>
          <w:sz w:val="32"/>
          <w:szCs w:val="32"/>
        </w:rPr>
        <w:t>97.80%</w:t>
      </w:r>
      <w:r>
        <w:rPr>
          <w:rFonts w:hint="eastAsia" w:ascii="仿宋_GB2312" w:eastAsia="仿宋_GB2312" w:cs="仿宋_GB2312"/>
          <w:sz w:val="32"/>
          <w:szCs w:val="32"/>
        </w:rPr>
        <w:t>。</w:t>
      </w:r>
      <w:r>
        <w:rPr>
          <w:rFonts w:ascii="仿宋_GB2312" w:eastAsia="仿宋_GB2312" w:cs="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 xml:space="preserve"> 2021</w:t>
      </w:r>
      <w:r>
        <w:rPr>
          <w:rFonts w:hint="eastAsia" w:ascii="仿宋_GB2312" w:eastAsia="仿宋_GB2312" w:cs="仿宋_GB2312"/>
          <w:sz w:val="32"/>
          <w:szCs w:val="32"/>
        </w:rPr>
        <w:t>年一般公共预算收支预算</w:t>
      </w:r>
      <w:r>
        <w:rPr>
          <w:rFonts w:ascii="仿宋_GB2312" w:eastAsia="仿宋_GB2312" w:cs="仿宋_GB2312"/>
          <w:sz w:val="32"/>
          <w:szCs w:val="32"/>
        </w:rPr>
        <w:t>5772.61</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w:t>
      </w:r>
      <w:r>
        <w:rPr>
          <w:rFonts w:hint="eastAsia" w:ascii="仿宋_GB2312" w:eastAsia="仿宋_GB2312" w:cs="仿宋_GB2312"/>
          <w:color w:val="000000"/>
          <w:sz w:val="32"/>
          <w:szCs w:val="32"/>
        </w:rPr>
        <w:t>减少</w:t>
      </w:r>
      <w:r>
        <w:rPr>
          <w:rFonts w:ascii="仿宋_GB2312" w:eastAsia="仿宋_GB2312" w:cs="仿宋_GB2312"/>
          <w:sz w:val="32"/>
          <w:szCs w:val="32"/>
        </w:rPr>
        <w:t>662.87</w:t>
      </w:r>
      <w:r>
        <w:rPr>
          <w:rFonts w:hint="eastAsia" w:ascii="仿宋_GB2312" w:eastAsia="仿宋_GB2312" w:cs="仿宋_GB2312"/>
          <w:sz w:val="32"/>
          <w:szCs w:val="32"/>
        </w:rPr>
        <w:t>万元。主要原因是：当年预算支出项目调整。</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Times New Roman" w:hAnsi="Times New Roman" w:eastAsia="仿宋_GB2312" w:cs="Times New Roman"/>
          <w:sz w:val="32"/>
          <w:szCs w:val="32"/>
        </w:rPr>
        <w:t xml:space="preserve">5772.61 </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126.71</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2.20%</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5645.90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97.80%</w:t>
      </w:r>
      <w:r>
        <w:rPr>
          <w:rFonts w:hint="eastAsia" w:ascii="Times New Roman" w:hAnsi="Times New Roman" w:eastAsia="仿宋_GB2312" w:cs="仿宋_GB2312"/>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2021</w:t>
      </w:r>
      <w:r>
        <w:rPr>
          <w:rFonts w:hint="eastAsia" w:ascii="Times New Roman" w:hAnsi="Times New Roman" w:eastAsia="仿宋_GB2312" w:cs="仿宋_GB2312"/>
          <w:color w:val="auto"/>
          <w:sz w:val="32"/>
          <w:szCs w:val="32"/>
        </w:rPr>
        <w:t>年一般公共预算基本支出年初预算为</w:t>
      </w:r>
      <w:r>
        <w:rPr>
          <w:rFonts w:ascii="Times New Roman" w:hAnsi="Times New Roman" w:eastAsia="仿宋_GB2312" w:cs="Times New Roman"/>
          <w:color w:val="auto"/>
          <w:sz w:val="32"/>
          <w:szCs w:val="32"/>
        </w:rPr>
        <w:t>126.71</w:t>
      </w:r>
      <w:r>
        <w:rPr>
          <w:rFonts w:hint="eastAsia" w:ascii="Times New Roman" w:hAnsi="Times New Roman" w:eastAsia="仿宋_GB2312" w:cs="仿宋_GB2312"/>
          <w:color w:val="auto"/>
          <w:sz w:val="32"/>
          <w:szCs w:val="32"/>
        </w:rPr>
        <w:t>万元。其中：人员经费支出</w:t>
      </w:r>
      <w:r>
        <w:rPr>
          <w:rFonts w:ascii="Times New Roman" w:hAnsi="Times New Roman" w:eastAsia="仿宋_GB2312" w:cs="Times New Roman"/>
          <w:color w:val="auto"/>
          <w:sz w:val="32"/>
          <w:szCs w:val="32"/>
        </w:rPr>
        <w:t>123.10</w:t>
      </w:r>
      <w:r>
        <w:rPr>
          <w:rFonts w:hint="eastAsia" w:ascii="Times New Roman" w:hAnsi="Times New Roman" w:eastAsia="仿宋_GB2312" w:cs="仿宋_GB2312"/>
          <w:color w:val="auto"/>
          <w:sz w:val="32"/>
          <w:szCs w:val="32"/>
        </w:rPr>
        <w:t>万元，占</w:t>
      </w:r>
      <w:r>
        <w:rPr>
          <w:rFonts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lang w:val="en-US" w:eastAsia="zh-CN"/>
        </w:rPr>
        <w:t>7.15</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；公用经费支出</w:t>
      </w:r>
      <w:r>
        <w:rPr>
          <w:rFonts w:ascii="Times New Roman" w:hAnsi="Times New Roman" w:eastAsia="仿宋_GB2312" w:cs="Times New Roman"/>
          <w:color w:val="auto"/>
          <w:sz w:val="32"/>
          <w:szCs w:val="32"/>
        </w:rPr>
        <w:t>3.61</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Times New Roman"/>
          <w:color w:val="auto"/>
          <w:sz w:val="32"/>
          <w:szCs w:val="32"/>
          <w:lang w:val="en-US" w:eastAsia="zh-CN"/>
        </w:rPr>
        <w:t>2.85</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numPr>
          <w:ilvl w:val="0"/>
          <w:numId w:val="3"/>
        </w:num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一般公共预算“三公”经费支出预算情况说明</w:t>
      </w:r>
    </w:p>
    <w:p>
      <w:pPr>
        <w:rPr>
          <w:rFonts w:ascii="仿宋_GB2312" w:eastAsia="仿宋_GB2312" w:cs="Times New Roman"/>
          <w:sz w:val="32"/>
          <w:szCs w:val="32"/>
        </w:rPr>
      </w:pPr>
      <w:r>
        <w:rPr>
          <w:rFonts w:ascii="仿宋_GB2312" w:eastAsia="仿宋_GB2312" w:cs="仿宋_GB2312"/>
          <w:sz w:val="32"/>
          <w:szCs w:val="32"/>
        </w:rPr>
        <w:t xml:space="preserve">    2021</w:t>
      </w:r>
      <w:r>
        <w:rPr>
          <w:rFonts w:hint="eastAsia" w:ascii="仿宋_GB2312" w:eastAsia="仿宋_GB2312" w:cs="仿宋_GB2312"/>
          <w:sz w:val="32"/>
          <w:szCs w:val="32"/>
        </w:rPr>
        <w:t>年“三公”经费预算为</w:t>
      </w:r>
      <w:r>
        <w:rPr>
          <w:rFonts w:ascii="仿宋_GB2312" w:eastAsia="仿宋_GB2312" w:cs="仿宋_GB2312"/>
          <w:sz w:val="32"/>
          <w:szCs w:val="32"/>
        </w:rPr>
        <w:t>2.19</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0.51</w:t>
      </w:r>
      <w:r>
        <w:rPr>
          <w:rFonts w:hint="eastAsia" w:asci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 xml:space="preserve">1.43 </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1.43</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万元。公务用车运行维护费预算数比</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仿宋_GB2312"/>
          <w:sz w:val="32"/>
          <w:szCs w:val="32"/>
        </w:rPr>
        <w:t>年增加</w:t>
      </w:r>
      <w:r>
        <w:rPr>
          <w:rFonts w:ascii="Times New Roman" w:hAnsi="Times New Roman" w:eastAsia="仿宋_GB2312" w:cs="Times New Roman"/>
          <w:sz w:val="32"/>
          <w:szCs w:val="32"/>
        </w:rPr>
        <w:t xml:space="preserve"> 0.61</w:t>
      </w:r>
      <w:r>
        <w:rPr>
          <w:rFonts w:hint="eastAsia" w:ascii="Times New Roman" w:hAnsi="Times New Roman" w:eastAsia="仿宋_GB2312" w:cs="仿宋_GB2312"/>
          <w:sz w:val="32"/>
          <w:szCs w:val="32"/>
        </w:rPr>
        <w:t>万元。主要原因：</w:t>
      </w:r>
      <w:r>
        <w:rPr>
          <w:rFonts w:hint="eastAsia" w:ascii="Times New Roman" w:hAnsi="Times New Roman" w:eastAsia="仿宋_GB2312" w:cs="仿宋_GB2312"/>
          <w:sz w:val="32"/>
          <w:szCs w:val="32"/>
          <w:lang w:eastAsia="zh-CN"/>
        </w:rPr>
        <w:t>按照年度工作安排公务出行活动增加，导致</w:t>
      </w:r>
      <w:r>
        <w:rPr>
          <w:rFonts w:hint="eastAsia" w:ascii="Times New Roman" w:hAnsi="Times New Roman" w:eastAsia="仿宋_GB2312" w:cs="仿宋_GB2312"/>
          <w:sz w:val="32"/>
          <w:szCs w:val="32"/>
        </w:rPr>
        <w:t>公务用车运行维护费</w:t>
      </w:r>
      <w:r>
        <w:rPr>
          <w:rFonts w:hint="eastAsia" w:ascii="Times New Roman" w:hAnsi="Times New Roman" w:eastAsia="仿宋_GB2312" w:cs="仿宋_GB2312"/>
          <w:sz w:val="32"/>
          <w:szCs w:val="32"/>
          <w:lang w:eastAsia="zh-CN"/>
        </w:rPr>
        <w:t>增加</w:t>
      </w:r>
      <w:r>
        <w:rPr>
          <w:rFonts w:hint="eastAsia" w:ascii="Times New Roman" w:hAnsi="Times New Roman" w:eastAsia="仿宋_GB2312" w:cs="仿宋_GB2312"/>
          <w:sz w:val="32"/>
          <w:szCs w:val="32"/>
        </w:rPr>
        <w:t>。</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0.76</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0.1</w:t>
      </w:r>
      <w:r>
        <w:rPr>
          <w:rFonts w:hint="eastAsia" w:ascii="Times New Roman" w:hAnsi="Times New Roman" w:eastAsia="仿宋_GB2312" w:cs="仿宋_GB2312"/>
          <w:sz w:val="32"/>
          <w:szCs w:val="32"/>
        </w:rPr>
        <w:t>万元。主要原因：按照中央八项规定，减少公务接待开支。</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color w:val="000000"/>
          <w:sz w:val="32"/>
          <w:szCs w:val="32"/>
          <w:highlight w:val="yellow"/>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rPr>
        <w:t>十、其他重要事项的情况说明</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cs="Times New Roman"/>
          <w:b/>
          <w:bCs/>
          <w:sz w:val="32"/>
          <w:szCs w:val="32"/>
        </w:rPr>
      </w:pPr>
      <w:bookmarkStart w:id="0" w:name="_GoBack"/>
      <w:bookmarkEnd w:id="0"/>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highlight w:val="yellow"/>
        </w:rPr>
      </w:pPr>
      <w:r>
        <w:rPr>
          <w:rFonts w:hint="eastAsia" w:ascii="仿宋_GB2312" w:eastAsia="仿宋_GB2312" w:cs="仿宋_GB2312"/>
          <w:sz w:val="32"/>
          <w:szCs w:val="32"/>
        </w:rPr>
        <w:t>我单位</w:t>
      </w:r>
      <w:r>
        <w:rPr>
          <w:rFonts w:ascii="仿宋_GB2312" w:eastAsia="仿宋_GB2312" w:cs="仿宋_GB2312"/>
          <w:sz w:val="32"/>
          <w:szCs w:val="32"/>
        </w:rPr>
        <w:t>2021</w:t>
      </w:r>
      <w:r>
        <w:rPr>
          <w:rFonts w:hint="eastAsia" w:ascii="仿宋_GB2312" w:eastAsia="仿宋_GB2312" w:cs="仿宋_GB2312"/>
          <w:sz w:val="32"/>
          <w:szCs w:val="32"/>
        </w:rPr>
        <w:t>年预算，暂未进行项目预算绩效管理工作。</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辆，其中：一般公务用车</w:t>
      </w:r>
      <w:r>
        <w:rPr>
          <w:rFonts w:ascii="仿宋_GB2312" w:eastAsia="仿宋_GB2312" w:cs="仿宋_GB2312"/>
          <w:sz w:val="32"/>
          <w:szCs w:val="32"/>
        </w:rPr>
        <w:t>0</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0</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ind w:firstLine="709"/>
        <w:rPr>
          <w:rFonts w:ascii="仿宋_GB2312" w:eastAsia="仿宋_GB2312" w:cs="Times New Roman"/>
          <w:sz w:val="32"/>
          <w:szCs w:val="32"/>
        </w:rPr>
      </w:pPr>
      <w:r>
        <w:rPr>
          <w:rFonts w:hint="eastAsia" w:ascii="仿宋_GB2312" w:eastAsia="仿宋_GB2312" w:cs="仿宋_GB2312"/>
          <w:b/>
          <w:bCs/>
          <w:sz w:val="32"/>
          <w:szCs w:val="32"/>
        </w:rPr>
        <w:t>（五）专项转移支付情况</w:t>
      </w:r>
    </w:p>
    <w:p>
      <w:pPr>
        <w:ind w:firstLine="700" w:firstLineChars="219"/>
        <w:rPr>
          <w:rFonts w:ascii="黑体" w:hAnsi="宋体" w:eastAsia="黑体" w:cs="Times New Roman"/>
          <w:sz w:val="32"/>
          <w:szCs w:val="32"/>
        </w:rPr>
      </w:pPr>
      <w:r>
        <w:rPr>
          <w:rFonts w:hint="eastAsia" w:ascii="仿宋_GB2312" w:eastAsia="仿宋_GB2312" w:cs="仿宋_GB2312"/>
          <w:sz w:val="32"/>
          <w:szCs w:val="32"/>
        </w:rPr>
        <w:t>我单位暂无负责的专项转移支付项目。</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2021</w:t>
      </w:r>
      <w:r>
        <w:rPr>
          <w:rFonts w:hint="eastAsia" w:ascii="仿宋_GB2312" w:eastAsia="仿宋_GB2312" w:cs="仿宋_GB2312"/>
          <w:sz w:val="32"/>
          <w:szCs w:val="32"/>
        </w:rPr>
        <w:t>年度单位预算表</w:t>
      </w:r>
    </w:p>
    <w:p>
      <w:pPr>
        <w:ind w:firstLine="709"/>
        <w:rPr>
          <w:rFonts w:ascii="仿宋_GB2312" w:eastAsia="仿宋_GB2312" w:cs="Times New Roman"/>
          <w:sz w:val="32"/>
          <w:szCs w:val="32"/>
        </w:rPr>
      </w:pPr>
      <w:r>
        <w:rPr>
          <w:rFonts w:hint="eastAsia" w:ascii="仿宋_GB2312" w:eastAsia="仿宋_GB2312" w:cs="仿宋_GB2312"/>
          <w:sz w:val="32"/>
          <w:szCs w:val="32"/>
        </w:rPr>
        <w:t>一、单位收支总体情况表</w:t>
      </w:r>
    </w:p>
    <w:p>
      <w:pPr>
        <w:ind w:firstLine="709"/>
        <w:rPr>
          <w:rFonts w:ascii="仿宋_GB2312" w:eastAsia="仿宋_GB2312" w:cs="Times New Roman"/>
          <w:sz w:val="32"/>
          <w:szCs w:val="32"/>
        </w:rPr>
      </w:pPr>
      <w:r>
        <w:rPr>
          <w:rFonts w:hint="eastAsia" w:ascii="仿宋_GB2312" w:eastAsia="仿宋_GB2312" w:cs="仿宋_GB2312"/>
          <w:sz w:val="32"/>
          <w:szCs w:val="32"/>
        </w:rPr>
        <w:t>二、单位收入总体情况表</w:t>
      </w:r>
    </w:p>
    <w:p>
      <w:pPr>
        <w:ind w:firstLine="709"/>
        <w:rPr>
          <w:rFonts w:ascii="仿宋_GB2312" w:eastAsia="仿宋_GB2312" w:cs="Times New Roman"/>
          <w:sz w:val="32"/>
          <w:szCs w:val="32"/>
        </w:rPr>
      </w:pPr>
      <w:r>
        <w:rPr>
          <w:rFonts w:hint="eastAsia" w:ascii="仿宋_GB2312" w:eastAsia="仿宋_GB2312" w:cs="仿宋_GB2312"/>
          <w:sz w:val="32"/>
          <w:szCs w:val="32"/>
        </w:rPr>
        <w:t>三、单位支出总体情况表</w:t>
      </w:r>
    </w:p>
    <w:p>
      <w:pPr>
        <w:ind w:firstLine="709"/>
        <w:rPr>
          <w:rFonts w:ascii="仿宋_GB2312" w:eastAsia="仿宋_GB2312" w:cs="Times New Roman"/>
          <w:sz w:val="32"/>
          <w:szCs w:val="32"/>
        </w:rPr>
      </w:pPr>
      <w:r>
        <w:rPr>
          <w:rFonts w:hint="eastAsia" w:ascii="仿宋_GB2312" w:eastAsia="仿宋_GB2312" w:cs="仿宋_GB2312"/>
          <w:sz w:val="32"/>
          <w:szCs w:val="32"/>
        </w:rPr>
        <w:t>四、财政拨款收支总体情况表</w:t>
      </w:r>
    </w:p>
    <w:p>
      <w:pPr>
        <w:ind w:firstLine="709"/>
        <w:rPr>
          <w:rFonts w:ascii="仿宋_GB2312" w:eastAsia="仿宋_GB2312" w:cs="Times New Roman"/>
          <w:sz w:val="32"/>
          <w:szCs w:val="32"/>
        </w:rPr>
      </w:pPr>
      <w:r>
        <w:rPr>
          <w:rFonts w:hint="eastAsia" w:ascii="仿宋_GB2312" w:eastAsia="仿宋_GB2312" w:cs="仿宋_GB2312"/>
          <w:sz w:val="32"/>
          <w:szCs w:val="32"/>
        </w:rPr>
        <w:t>五、一般公共预算支出情况表</w:t>
      </w:r>
    </w:p>
    <w:p>
      <w:pPr>
        <w:ind w:firstLine="709"/>
        <w:rPr>
          <w:rFonts w:ascii="仿宋_GB2312" w:eastAsia="仿宋_GB2312" w:cs="Times New Roman"/>
          <w:sz w:val="32"/>
          <w:szCs w:val="32"/>
        </w:rPr>
      </w:pPr>
      <w:r>
        <w:rPr>
          <w:rFonts w:hint="eastAsia" w:ascii="仿宋_GB2312" w:eastAsia="仿宋_GB2312" w:cs="仿宋_GB2312"/>
          <w:sz w:val="32"/>
          <w:szCs w:val="32"/>
        </w:rPr>
        <w:t>六、一般公共预算基本支出情况表</w:t>
      </w:r>
    </w:p>
    <w:p>
      <w:pPr>
        <w:ind w:firstLine="709"/>
        <w:rPr>
          <w:rFonts w:ascii="仿宋_GB2312" w:eastAsia="仿宋_GB2312" w:cs="Times New Roman"/>
          <w:sz w:val="32"/>
          <w:szCs w:val="32"/>
        </w:rPr>
      </w:pPr>
      <w:r>
        <w:rPr>
          <w:rFonts w:hint="eastAsia" w:ascii="仿宋_GB2312" w:eastAsia="仿宋_GB2312" w:cs="仿宋_GB2312"/>
          <w:sz w:val="32"/>
          <w:szCs w:val="32"/>
        </w:rPr>
        <w:t>七、一般公共预算“三公”经费支出情况表</w:t>
      </w:r>
    </w:p>
    <w:p>
      <w:pPr>
        <w:ind w:firstLine="709"/>
        <w:rPr>
          <w:rFonts w:ascii="仿宋_GB2312" w:eastAsia="仿宋_GB2312" w:cs="Times New Roman"/>
          <w:sz w:val="32"/>
          <w:szCs w:val="32"/>
        </w:rPr>
      </w:pPr>
      <w:r>
        <w:rPr>
          <w:rFonts w:hint="eastAsia" w:ascii="仿宋_GB2312" w:eastAsia="仿宋_GB2312" w:cs="仿宋_GB2312"/>
          <w:sz w:val="32"/>
          <w:szCs w:val="32"/>
        </w:rPr>
        <w:t>八、政府性基金预算支出情况表</w:t>
      </w:r>
    </w:p>
    <w:p>
      <w:pPr>
        <w:ind w:firstLine="709"/>
        <w:rPr>
          <w:rFonts w:ascii="仿宋_GB2312" w:eastAsia="仿宋_GB2312" w:cs="Times New Roman"/>
          <w:sz w:val="32"/>
          <w:szCs w:val="32"/>
        </w:rPr>
      </w:pPr>
      <w:r>
        <w:rPr>
          <w:rFonts w:hint="eastAsia" w:ascii="仿宋_GB2312" w:eastAsia="仿宋_GB2312" w:cs="仿宋_GB2312"/>
          <w:sz w:val="32"/>
          <w:szCs w:val="32"/>
        </w:rPr>
        <w:t>九、支出经济分类汇总</w:t>
      </w:r>
    </w:p>
    <w:p>
      <w:pPr>
        <w:ind w:firstLine="709"/>
        <w:rPr>
          <w:rFonts w:hint="eastAsia" w:ascii="仿宋_GB2312" w:eastAsia="仿宋_GB2312" w:cs="Times New Roman"/>
          <w:sz w:val="32"/>
          <w:szCs w:val="32"/>
          <w:lang w:eastAsia="zh-CN"/>
        </w:rPr>
      </w:pPr>
      <w:r>
        <w:rPr>
          <w:rFonts w:hint="eastAsia" w:ascii="仿宋_GB2312" w:hAnsi="Calibri" w:eastAsia="仿宋_GB2312" w:cs="Times New Roman"/>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abstractNum w:abstractNumId="2">
    <w:nsid w:val="630B8B62"/>
    <w:multiLevelType w:val="singleLevel"/>
    <w:tmpl w:val="630B8B62"/>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11A01C4"/>
    <w:rsid w:val="1C193244"/>
    <w:rsid w:val="356D27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uiPriority w:val="99"/>
    <w:rPr>
      <w:sz w:val="18"/>
      <w:szCs w:val="18"/>
    </w:rPr>
  </w:style>
  <w:style w:type="character" w:customStyle="1" w:styleId="10">
    <w:name w:val="Header Char"/>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8</Pages>
  <Words>2817</Words>
  <Characters>3038</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2022-08-28T13:41:00Z</dcterms:created>
  <dc:creator>null,null,总收发</dc:creator>
  <cp:lastModifiedBy>琳琳小不点儿</cp:lastModifiedBy>
  <cp:lastPrinted>2022-05-18T10:02:00Z</cp:lastPrinted>
  <dcterms:modified xsi:type="dcterms:W3CDTF">2022-09-02T01:42:40Z</dcterms:modified>
  <dc:title>邓州市2021年机关事业单位社会保险管理处单位预算基本情况说明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2E6C81A573EB498387BD2A35F070861E</vt:lpwstr>
  </property>
</Properties>
</file>