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8"/>
          <w:szCs w:val="28"/>
        </w:rPr>
      </w:pPr>
      <w:r>
        <w:rPr>
          <w:rFonts w:hint="eastAsia" w:ascii="方正小标宋简体" w:hAnsi="黑体" w:eastAsia="方正小标宋简体" w:cs="方正小标宋简体"/>
          <w:w w:val="90"/>
          <w:sz w:val="44"/>
          <w:szCs w:val="44"/>
        </w:rPr>
        <w:t>邓州市</w:t>
      </w:r>
      <w:r>
        <w:rPr>
          <w:rFonts w:ascii="方正小标宋简体" w:hAnsi="黑体" w:eastAsia="方正小标宋简体" w:cs="方正小标宋简体"/>
          <w:w w:val="90"/>
          <w:sz w:val="44"/>
          <w:szCs w:val="44"/>
        </w:rPr>
        <w:t>2021</w:t>
      </w:r>
      <w:r>
        <w:rPr>
          <w:rFonts w:hint="eastAsia" w:ascii="方正小标宋简体" w:hAnsi="黑体" w:eastAsia="方正小标宋简体" w:cs="方正小标宋简体"/>
          <w:w w:val="90"/>
          <w:sz w:val="44"/>
          <w:szCs w:val="44"/>
        </w:rPr>
        <w:t>年</w:t>
      </w:r>
      <w:r>
        <w:rPr>
          <w:rFonts w:hint="eastAsia" w:ascii="方正小标宋简体" w:hAnsi="黑体" w:eastAsia="方正小标宋简体" w:cs="方正小标宋简体"/>
          <w:w w:val="90"/>
          <w:sz w:val="44"/>
          <w:szCs w:val="44"/>
          <w:lang w:val="en-US" w:eastAsia="zh-CN"/>
        </w:rPr>
        <w:t>人力资源和社会保障局</w:t>
      </w:r>
      <w:r>
        <w:rPr>
          <w:rFonts w:hint="eastAsia" w:ascii="方正小标宋简体" w:hAnsi="黑体" w:eastAsia="方正小标宋简体" w:cs="方正小标宋简体"/>
          <w:w w:val="90"/>
          <w:sz w:val="44"/>
          <w:szCs w:val="44"/>
        </w:rPr>
        <w:t>局单位预算基本情况说明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w:t>
      </w:r>
      <w:r>
        <w:rPr>
          <w:rFonts w:hint="eastAsia" w:ascii="黑体" w:hAnsi="宋体" w:eastAsia="黑体" w:cs="黑体"/>
          <w:sz w:val="32"/>
          <w:szCs w:val="32"/>
          <w:lang w:val="en-US" w:eastAsia="zh-CN"/>
        </w:rPr>
        <w:t>人力资源和社会保障局</w:t>
      </w:r>
      <w:r>
        <w:rPr>
          <w:rFonts w:hint="eastAsia" w:ascii="黑体" w:hAnsi="宋体" w:eastAsia="黑体" w:cs="黑体"/>
          <w:sz w:val="32"/>
          <w:szCs w:val="32"/>
        </w:rPr>
        <w:t>概况</w:t>
      </w:r>
    </w:p>
    <w:p>
      <w:pPr>
        <w:pStyle w:val="7"/>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一、主要职责</w:t>
      </w:r>
    </w:p>
    <w:p>
      <w:pPr>
        <w:pStyle w:val="7"/>
        <w:ind w:firstLine="640" w:firstLineChars="200"/>
        <w:jc w:val="left"/>
        <w:rPr>
          <w:rFonts w:ascii="仿宋_GB2312" w:hAnsi="宋体" w:eastAsia="仿宋_GB2312" w:cs="Times New Roman"/>
          <w:sz w:val="32"/>
          <w:szCs w:val="32"/>
        </w:rPr>
      </w:pPr>
      <w:r>
        <w:rPr>
          <w:rFonts w:hint="eastAsia" w:ascii="仿宋_GB2312" w:hAnsi="宋体" w:eastAsia="仿宋_GB2312" w:cs="仿宋_GB2312"/>
          <w:sz w:val="32"/>
          <w:szCs w:val="32"/>
        </w:rPr>
        <w:t>二、预算单位构成情况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w:t>
      </w:r>
      <w:r>
        <w:rPr>
          <w:rFonts w:hint="eastAsia" w:ascii="黑体" w:hAnsi="宋体" w:eastAsia="黑体" w:cs="黑体"/>
          <w:sz w:val="32"/>
          <w:szCs w:val="32"/>
          <w:lang w:eastAsia="zh-CN"/>
        </w:rPr>
        <w:t>人力资源和社会保障局</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425" w:firstLineChars="133"/>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72" w:firstLineChars="133"/>
        <w:rPr>
          <w:rFonts w:ascii="仿宋_GB2312" w:hAnsi="宋体" w:eastAsia="仿宋_GB2312" w:cs="Times New Roman"/>
          <w:sz w:val="28"/>
          <w:szCs w:val="28"/>
        </w:rPr>
      </w:pPr>
    </w:p>
    <w:p>
      <w:pPr>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仿宋_GB2312" w:eastAsia="仿宋_GB2312" w:cs="Times New Roman"/>
          <w:b/>
          <w:bCs/>
          <w:sz w:val="32"/>
          <w:szCs w:val="32"/>
        </w:rPr>
      </w:pPr>
      <w:r>
        <w:rPr>
          <w:rFonts w:hint="eastAsia" w:ascii="黑体" w:hAnsi="宋体" w:eastAsia="黑体" w:cs="黑体"/>
          <w:sz w:val="32"/>
          <w:szCs w:val="32"/>
        </w:rPr>
        <w:t>邓州市</w:t>
      </w:r>
      <w:r>
        <w:rPr>
          <w:rFonts w:hint="eastAsia" w:ascii="黑体" w:hAnsi="宋体" w:eastAsia="黑体" w:cs="黑体"/>
          <w:sz w:val="32"/>
          <w:szCs w:val="32"/>
          <w:lang w:eastAsia="zh-CN"/>
        </w:rPr>
        <w:t>人力资源和社会保障局</w:t>
      </w:r>
      <w:r>
        <w:rPr>
          <w:rFonts w:hint="eastAsia" w:ascii="黑体" w:hAnsi="宋体" w:eastAsia="黑体" w:cs="黑体"/>
          <w:sz w:val="32"/>
          <w:szCs w:val="32"/>
        </w:rPr>
        <w:t>概况</w:t>
      </w:r>
    </w:p>
    <w:p>
      <w:pPr>
        <w:ind w:firstLine="566" w:firstLineChars="177"/>
        <w:rPr>
          <w:rFonts w:ascii="黑体" w:eastAsia="黑体" w:cs="Times New Roman"/>
          <w:sz w:val="32"/>
          <w:szCs w:val="32"/>
        </w:rPr>
      </w:pPr>
      <w:r>
        <w:rPr>
          <w:rFonts w:hint="eastAsia" w:ascii="黑体" w:eastAsia="黑体" w:cs="黑体"/>
          <w:sz w:val="32"/>
          <w:szCs w:val="32"/>
        </w:rPr>
        <w:t>一、主要职责</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贯彻执行国家、省、市人力资源和社会保障法律、法规、政策，做好就业服务、养老保险、工伤、失业保险等工作；落实国家、机关企事业单位人员工资收入分配政策；会同有关部门指导全市事业单位人事制度改革；协助有关部门做好机关公务员录用、公开遴选、公开选调等考试的考务组织工作；落实推进深化职称制度改革；贯彻落实国家、省、市有关农民工工作综合性政策；贯彻落实国家、人事争议调解仲裁制度和劳动关系政策，组织实施劳动保障监察；负责全市引进国外智力工作，负责我市人力资源和社会保障领域的国际交流与合作。</w:t>
      </w:r>
    </w:p>
    <w:p>
      <w:pPr>
        <w:ind w:firstLine="566" w:firstLineChars="177"/>
        <w:rPr>
          <w:rFonts w:ascii="黑体" w:eastAsia="黑体" w:cs="Times New Roman"/>
          <w:sz w:val="32"/>
          <w:szCs w:val="32"/>
        </w:rPr>
      </w:pPr>
      <w:r>
        <w:rPr>
          <w:rFonts w:hint="eastAsia" w:ascii="黑体" w:eastAsia="黑体" w:cs="黑体"/>
          <w:sz w:val="32"/>
          <w:szCs w:val="32"/>
        </w:rPr>
        <w:t>二、单位预算构成情况</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邓州市</w:t>
      </w:r>
      <w:r>
        <w:rPr>
          <w:rFonts w:hint="eastAsia" w:ascii="仿宋_GB2312" w:eastAsia="仿宋_GB2312" w:cs="仿宋_GB2312"/>
          <w:sz w:val="32"/>
          <w:szCs w:val="32"/>
          <w:lang w:eastAsia="zh-CN"/>
        </w:rPr>
        <w:t>人力资源和社会保障局</w:t>
      </w:r>
      <w:r>
        <w:rPr>
          <w:rFonts w:hint="eastAsia" w:ascii="仿宋_GB2312" w:eastAsia="仿宋_GB2312" w:cs="仿宋_GB2312"/>
          <w:sz w:val="32"/>
          <w:szCs w:val="32"/>
        </w:rPr>
        <w:t>机关单位预算包括：</w:t>
      </w:r>
      <w:r>
        <w:rPr>
          <w:rFonts w:hint="eastAsia" w:ascii="Times New Roman" w:hAnsi="Times New Roman" w:eastAsia="仿宋_GB2312" w:cs="仿宋_GB2312"/>
          <w:sz w:val="32"/>
          <w:szCs w:val="32"/>
        </w:rPr>
        <w:t>就业促进科、工资福利科、人才职称管理科、职业能力建设科、人力资源流动管理科、劳动监察仲裁科、人才交流中心、考试中心</w:t>
      </w:r>
      <w:r>
        <w:rPr>
          <w:rFonts w:hint="eastAsia" w:ascii="仿宋_GB2312" w:eastAsia="仿宋_GB2312" w:cs="仿宋_GB2312"/>
          <w:sz w:val="32"/>
          <w:szCs w:val="32"/>
        </w:rPr>
        <w:t>的预算。</w:t>
      </w: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w:t>
      </w:r>
      <w:r>
        <w:rPr>
          <w:rFonts w:hint="eastAsia" w:ascii="黑体" w:hAnsi="宋体" w:eastAsia="黑体" w:cs="黑体"/>
          <w:sz w:val="32"/>
          <w:szCs w:val="32"/>
          <w:lang w:eastAsia="zh-CN"/>
        </w:rPr>
        <w:t>人力资源和社会保障局</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3484.29</w:t>
      </w:r>
      <w:r>
        <w:rPr>
          <w:rFonts w:hint="eastAsia" w:ascii="仿宋_GB2312" w:eastAsia="仿宋_GB2312" w:cs="仿宋_GB2312"/>
          <w:sz w:val="32"/>
          <w:szCs w:val="32"/>
        </w:rPr>
        <w:t>万元，支出总计</w:t>
      </w:r>
      <w:r>
        <w:rPr>
          <w:rFonts w:ascii="仿宋_GB2312" w:eastAsia="仿宋_GB2312" w:cs="仿宋_GB2312"/>
          <w:sz w:val="32"/>
          <w:szCs w:val="32"/>
        </w:rPr>
        <w:t>3484.29</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年相比，收入、支出各增长</w:t>
      </w:r>
      <w:r>
        <w:rPr>
          <w:rFonts w:ascii="仿宋_GB2312" w:eastAsia="仿宋_GB2312" w:cs="仿宋_GB2312"/>
          <w:color w:val="000000"/>
          <w:sz w:val="32"/>
          <w:szCs w:val="32"/>
        </w:rPr>
        <w:t>597.75</w:t>
      </w:r>
      <w:r>
        <w:rPr>
          <w:rFonts w:hint="eastAsia" w:ascii="仿宋_GB2312" w:eastAsia="仿宋_GB2312" w:cs="仿宋_GB2312"/>
          <w:sz w:val="32"/>
          <w:szCs w:val="32"/>
        </w:rPr>
        <w:t>万元。主要原因是：</w:t>
      </w:r>
      <w:r>
        <w:rPr>
          <w:rFonts w:hint="eastAsia" w:ascii="Times New Roman" w:hAnsi="Times New Roman" w:eastAsia="仿宋" w:cs="仿宋"/>
          <w:sz w:val="32"/>
          <w:szCs w:val="32"/>
        </w:rPr>
        <w:t>政府进一步加大对社会保障和就业的支出力度</w:t>
      </w:r>
      <w:r>
        <w:rPr>
          <w:rFonts w:hint="eastAsia" w:ascii="Times New Roman" w:hAnsi="Times New Roman" w:eastAsia="仿宋_GB2312" w:cs="仿宋_GB2312"/>
          <w:sz w:val="32"/>
          <w:szCs w:val="32"/>
        </w:rPr>
        <w:t>。</w:t>
      </w:r>
      <w:r>
        <w:rPr>
          <w:rFonts w:ascii="仿宋_GB2312" w:eastAsia="仿宋_GB2312" w:cs="仿宋_GB2312"/>
          <w:sz w:val="32"/>
          <w:szCs w:val="32"/>
        </w:rPr>
        <w:t xml:space="preserve"> </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3484.29</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3484.29</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3484.29</w:t>
      </w:r>
      <w:r>
        <w:rPr>
          <w:rFonts w:hint="eastAsia" w:ascii="仿宋_GB2312" w:eastAsia="仿宋_GB2312" w:cs="仿宋_GB2312"/>
          <w:sz w:val="32"/>
          <w:szCs w:val="32"/>
        </w:rPr>
        <w:t>万元，其中：基本支出</w:t>
      </w:r>
      <w:r>
        <w:rPr>
          <w:rFonts w:ascii="仿宋_GB2312" w:eastAsia="仿宋_GB2312" w:cs="仿宋_GB2312"/>
          <w:sz w:val="32"/>
          <w:szCs w:val="32"/>
        </w:rPr>
        <w:t>468.92</w:t>
      </w:r>
      <w:r>
        <w:rPr>
          <w:rFonts w:hint="eastAsia" w:ascii="仿宋_GB2312" w:eastAsia="仿宋_GB2312" w:cs="仿宋_GB2312"/>
          <w:sz w:val="32"/>
          <w:szCs w:val="32"/>
        </w:rPr>
        <w:t>万元，占年度计划的</w:t>
      </w:r>
      <w:r>
        <w:rPr>
          <w:rFonts w:ascii="仿宋_GB2312" w:eastAsia="仿宋_GB2312" w:cs="仿宋_GB2312"/>
          <w:sz w:val="32"/>
          <w:szCs w:val="32"/>
        </w:rPr>
        <w:t>13.46%</w:t>
      </w:r>
      <w:r>
        <w:rPr>
          <w:rFonts w:hint="eastAsia" w:ascii="仿宋_GB2312" w:eastAsia="仿宋_GB2312" w:cs="仿宋_GB2312"/>
          <w:sz w:val="32"/>
          <w:szCs w:val="32"/>
        </w:rPr>
        <w:t>；项目支出</w:t>
      </w:r>
      <w:r>
        <w:rPr>
          <w:rFonts w:ascii="仿宋_GB2312" w:eastAsia="仿宋_GB2312" w:cs="仿宋_GB2312"/>
          <w:sz w:val="32"/>
          <w:szCs w:val="32"/>
        </w:rPr>
        <w:t>3015.37</w:t>
      </w:r>
      <w:r>
        <w:rPr>
          <w:rFonts w:hint="eastAsia" w:ascii="仿宋_GB2312" w:eastAsia="仿宋_GB2312" w:cs="仿宋_GB2312"/>
          <w:sz w:val="32"/>
          <w:szCs w:val="32"/>
        </w:rPr>
        <w:t>万元，占年度计划的</w:t>
      </w:r>
      <w:r>
        <w:rPr>
          <w:rFonts w:ascii="仿宋_GB2312" w:eastAsia="仿宋_GB2312" w:cs="仿宋_GB2312"/>
          <w:sz w:val="32"/>
          <w:szCs w:val="32"/>
        </w:rPr>
        <w:t>86.54%</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3484.29</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年相比，收入支出增长</w:t>
      </w:r>
      <w:r>
        <w:rPr>
          <w:rFonts w:ascii="仿宋_GB2312" w:eastAsia="仿宋_GB2312" w:cs="仿宋_GB2312"/>
          <w:sz w:val="32"/>
          <w:szCs w:val="32"/>
        </w:rPr>
        <w:t>597.75</w:t>
      </w:r>
      <w:r>
        <w:rPr>
          <w:rFonts w:hint="eastAsia" w:ascii="仿宋_GB2312" w:eastAsia="仿宋_GB2312" w:cs="仿宋_GB2312"/>
          <w:sz w:val="32"/>
          <w:szCs w:val="32"/>
        </w:rPr>
        <w:t>万元。主要原因是：</w:t>
      </w:r>
      <w:r>
        <w:rPr>
          <w:rFonts w:hint="eastAsia" w:ascii="Times New Roman" w:hAnsi="Times New Roman" w:eastAsia="仿宋" w:cs="仿宋"/>
          <w:sz w:val="32"/>
          <w:szCs w:val="32"/>
        </w:rPr>
        <w:t>政府进一步加大对社会保障和就业的支出力度</w:t>
      </w:r>
      <w:r>
        <w:rPr>
          <w:rFonts w:hint="eastAsia" w:ascii="Times New Roman" w:hAnsi="Times New Roman" w:eastAsia="仿宋_GB2312" w:cs="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Times New Roman" w:hAnsi="Times New Roman" w:eastAsia="仿宋_GB2312" w:cs="Times New Roman"/>
          <w:sz w:val="32"/>
          <w:szCs w:val="32"/>
        </w:rPr>
        <w:t>922.39</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468.92</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50.84%</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453.47</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49.16%</w:t>
      </w:r>
      <w:r>
        <w:rPr>
          <w:rFonts w:hint="eastAsia" w:ascii="Times New Roman" w:hAnsi="Times New Roman" w:eastAsia="仿宋_GB2312" w:cs="仿宋_GB2312"/>
          <w:sz w:val="32"/>
          <w:szCs w:val="32"/>
        </w:rPr>
        <w:t>。</w:t>
      </w:r>
    </w:p>
    <w:p>
      <w:pPr>
        <w:numPr>
          <w:ilvl w:val="0"/>
          <w:numId w:val="1"/>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年一般公共预算基本支出年初预算为</w:t>
      </w:r>
      <w:r>
        <w:rPr>
          <w:rFonts w:ascii="Times New Roman" w:hAnsi="Times New Roman" w:eastAsia="仿宋_GB2312" w:cs="Times New Roman"/>
          <w:sz w:val="32"/>
          <w:szCs w:val="32"/>
        </w:rPr>
        <w:t>468.92</w:t>
      </w:r>
      <w:r>
        <w:rPr>
          <w:rFonts w:hint="eastAsia" w:ascii="Times New Roman" w:hAnsi="Times New Roman" w:eastAsia="仿宋_GB2312" w:cs="仿宋_GB2312"/>
          <w:sz w:val="32"/>
          <w:szCs w:val="32"/>
        </w:rPr>
        <w:t>万元。其中：人员经费支出</w:t>
      </w:r>
      <w:r>
        <w:rPr>
          <w:rFonts w:ascii="Times New Roman" w:hAnsi="Times New Roman" w:eastAsia="仿宋_GB2312" w:cs="Times New Roman"/>
          <w:sz w:val="32"/>
          <w:szCs w:val="32"/>
        </w:rPr>
        <w:t>422.04</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90.01%</w:t>
      </w:r>
      <w:r>
        <w:rPr>
          <w:rFonts w:hint="eastAsia" w:ascii="Times New Roman" w:hAnsi="Times New Roman" w:eastAsia="仿宋_GB2312" w:cs="仿宋_GB2312"/>
          <w:sz w:val="32"/>
          <w:szCs w:val="32"/>
        </w:rPr>
        <w:t>；公用经费支出</w:t>
      </w:r>
      <w:r>
        <w:rPr>
          <w:rFonts w:ascii="Times New Roman" w:hAnsi="Times New Roman" w:eastAsia="仿宋_GB2312" w:cs="Times New Roman"/>
          <w:sz w:val="32"/>
          <w:szCs w:val="32"/>
        </w:rPr>
        <w:t>46.88</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9.99%</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仿宋_GB2312" w:cs="仿宋_GB2312"/>
          <w:b/>
          <w:bCs/>
          <w:sz w:val="32"/>
          <w:szCs w:val="32"/>
        </w:rPr>
        <w:t>一般公共预算“三公”经费支出预算情况说明</w:t>
      </w:r>
    </w:p>
    <w:p>
      <w:pPr>
        <w:ind w:left="319" w:leftChars="152" w:firstLine="758" w:firstLineChars="237"/>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44.1</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9.8</w:t>
      </w:r>
      <w:r>
        <w:rPr>
          <w:rFonts w:hint="eastAsia" w:asci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11.5</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11.5</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万元。公务用车运行维护费预算数比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年增加</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万元。主要原因：开展执法活动需要。</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32.6</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1.7</w:t>
      </w:r>
      <w:r>
        <w:rPr>
          <w:rFonts w:hint="eastAsia" w:ascii="Times New Roman" w:hAnsi="Times New Roman" w:eastAsia="仿宋_GB2312" w:cs="仿宋_GB2312"/>
          <w:sz w:val="32"/>
          <w:szCs w:val="32"/>
        </w:rPr>
        <w:t>万元。主要原因：按照中央八项规定，减少公务接待开支。</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rPr>
        <w:t>十、其他重要事项的情况说明</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年机关运行经费支出预算</w:t>
      </w:r>
      <w:r>
        <w:rPr>
          <w:rFonts w:ascii="仿宋_GB2312" w:eastAsia="仿宋_GB2312" w:cs="仿宋_GB2312"/>
          <w:sz w:val="32"/>
          <w:szCs w:val="32"/>
        </w:rPr>
        <w:t>46</w:t>
      </w:r>
      <w:r>
        <w:rPr>
          <w:rFonts w:hint="eastAsia" w:ascii="仿宋_GB2312" w:eastAsia="仿宋_GB2312" w:cs="仿宋_GB2312"/>
          <w:sz w:val="32"/>
          <w:szCs w:val="32"/>
          <w:lang w:val="en-US" w:eastAsia="zh-CN"/>
        </w:rPr>
        <w:t>8.92</w:t>
      </w:r>
      <w:r>
        <w:rPr>
          <w:rFonts w:hint="eastAsia" w:ascii="仿宋_GB2312" w:eastAsia="仿宋_GB2312" w:cs="仿宋_GB2312"/>
          <w:sz w:val="32"/>
          <w:szCs w:val="32"/>
        </w:rPr>
        <w:t>万元，主要保障机关人员工资发放、机构正常运转及正常履职需要。</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年，我单位拟组织对“三支一扶”学生工资、其他就业补助支出等两个项目进行预算绩效评价，涉及资金</w:t>
      </w:r>
      <w:r>
        <w:rPr>
          <w:rFonts w:ascii="仿宋_GB2312" w:eastAsia="仿宋_GB2312" w:cs="仿宋_GB2312"/>
          <w:sz w:val="32"/>
          <w:szCs w:val="32"/>
        </w:rPr>
        <w:t>2561.9</w:t>
      </w:r>
      <w:r>
        <w:rPr>
          <w:rFonts w:hint="eastAsia" w:ascii="仿宋_GB2312" w:eastAsia="仿宋_GB2312" w:cs="仿宋_GB2312"/>
          <w:sz w:val="32"/>
          <w:szCs w:val="32"/>
        </w:rPr>
        <w:t>万元。</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5</w:t>
      </w:r>
      <w:r>
        <w:rPr>
          <w:rFonts w:hint="eastAsia" w:ascii="仿宋_GB2312" w:eastAsia="仿宋_GB2312" w:cs="仿宋_GB2312"/>
          <w:sz w:val="32"/>
          <w:szCs w:val="32"/>
        </w:rPr>
        <w:t>辆，其中：一般公务用车</w:t>
      </w:r>
      <w:r>
        <w:rPr>
          <w:rFonts w:ascii="仿宋_GB2312" w:eastAsia="仿宋_GB2312" w:cs="仿宋_GB2312"/>
          <w:sz w:val="32"/>
          <w:szCs w:val="32"/>
        </w:rPr>
        <w:t>5</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0</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700" w:firstLineChars="219"/>
        <w:rPr>
          <w:rFonts w:ascii="仿宋_GB2312" w:eastAsia="仿宋_GB2312" w:cs="Times New Roman"/>
          <w:sz w:val="32"/>
          <w:szCs w:val="32"/>
        </w:rPr>
      </w:pPr>
      <w:r>
        <w:rPr>
          <w:rFonts w:hint="eastAsia" w:ascii="仿宋_GB2312" w:eastAsia="仿宋_GB2312" w:cs="仿宋_GB2312"/>
          <w:sz w:val="32"/>
          <w:szCs w:val="32"/>
        </w:rPr>
        <w:t>我单位负责的专项转移支付项目共有项，主要是：</w:t>
      </w:r>
      <w:r>
        <w:rPr>
          <w:rFonts w:hint="eastAsia" w:ascii="仿宋_GB2312" w:eastAsia="仿宋_GB2312" w:cs="仿宋_GB2312"/>
          <w:color w:val="000000"/>
          <w:sz w:val="32"/>
          <w:szCs w:val="32"/>
        </w:rPr>
        <w:t>“三支一扶”学生工资</w:t>
      </w:r>
      <w:r>
        <w:rPr>
          <w:rFonts w:hint="eastAsia" w:ascii="仿宋_GB2312" w:eastAsia="仿宋_GB2312" w:cs="仿宋_GB2312"/>
          <w:sz w:val="32"/>
          <w:szCs w:val="32"/>
        </w:rPr>
        <w:t>项目</w:t>
      </w:r>
      <w:r>
        <w:rPr>
          <w:rFonts w:ascii="仿宋_GB2312" w:eastAsia="仿宋_GB2312" w:cs="仿宋_GB2312"/>
          <w:sz w:val="32"/>
          <w:szCs w:val="32"/>
        </w:rPr>
        <w:t>44.9</w:t>
      </w:r>
      <w:r>
        <w:rPr>
          <w:rFonts w:hint="eastAsia" w:ascii="仿宋_GB2312" w:eastAsia="仿宋_GB2312" w:cs="仿宋_GB2312"/>
          <w:sz w:val="32"/>
          <w:szCs w:val="32"/>
        </w:rPr>
        <w:t>万元；</w:t>
      </w:r>
      <w:r>
        <w:rPr>
          <w:rFonts w:hint="eastAsia" w:ascii="仿宋_GB2312" w:eastAsia="仿宋_GB2312" w:cs="仿宋_GB2312"/>
          <w:color w:val="000000"/>
          <w:sz w:val="32"/>
          <w:szCs w:val="32"/>
        </w:rPr>
        <w:t>其他就业补助支出</w:t>
      </w:r>
      <w:r>
        <w:rPr>
          <w:rFonts w:hint="eastAsia" w:ascii="仿宋_GB2312" w:eastAsia="仿宋_GB2312" w:cs="仿宋_GB2312"/>
          <w:sz w:val="32"/>
          <w:szCs w:val="32"/>
        </w:rPr>
        <w:t>项目</w:t>
      </w:r>
      <w:r>
        <w:rPr>
          <w:rFonts w:ascii="仿宋_GB2312" w:eastAsia="仿宋_GB2312" w:cs="仿宋_GB2312"/>
          <w:sz w:val="32"/>
          <w:szCs w:val="32"/>
        </w:rPr>
        <w:t>2517</w:t>
      </w:r>
      <w:r>
        <w:rPr>
          <w:rFonts w:hint="eastAsia" w:ascii="仿宋_GB2312" w:eastAsia="仿宋_GB2312" w:cs="仿宋_GB2312"/>
          <w:sz w:val="32"/>
          <w:szCs w:val="32"/>
        </w:rPr>
        <w:t>万元等。</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cs="Times New Roman"/>
          <w:sz w:val="32"/>
          <w:szCs w:val="32"/>
        </w:rPr>
      </w:pPr>
    </w:p>
    <w:p>
      <w:pPr>
        <w:ind w:firstLine="426"/>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2021</w:t>
      </w:r>
      <w:r>
        <w:rPr>
          <w:rFonts w:hint="eastAsia" w:ascii="仿宋_GB2312" w:eastAsia="仿宋_GB2312" w:cs="仿宋_GB2312"/>
          <w:sz w:val="32"/>
          <w:szCs w:val="32"/>
        </w:rPr>
        <w:t>年度单位预算表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一、单位收支总体情况表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二、单位收入总体情况表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三、单位支出总体情况表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四、财政拨款收支总体情况表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五、一般公共预算支出情况表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六、一般公共预算基本支出情况表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七、一般公共预算“三公”经费支出情况表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八、政府性基金预算支出情况表</w:t>
      </w:r>
    </w:p>
    <w:p>
      <w:pPr>
        <w:snapToGrid w:val="0"/>
        <w:spacing w:line="360" w:lineRule="auto"/>
        <w:ind w:firstLine="425" w:firstLineChars="133"/>
        <w:rPr>
          <w:rFonts w:ascii="仿宋_GB2312" w:eastAsia="仿宋_GB2312" w:cs="Times New Roman"/>
          <w:sz w:val="32"/>
          <w:szCs w:val="32"/>
        </w:rPr>
      </w:pPr>
      <w:r>
        <w:rPr>
          <w:rFonts w:hint="eastAsia" w:ascii="仿宋_GB2312" w:eastAsia="仿宋_GB2312" w:cs="仿宋_GB2312"/>
          <w:sz w:val="32"/>
          <w:szCs w:val="32"/>
        </w:rPr>
        <w:t>九、支出经济分类汇总表</w:t>
      </w:r>
    </w:p>
    <w:p>
      <w:pPr>
        <w:ind w:firstLine="426"/>
        <w:rPr>
          <w:rFonts w:hint="eastAsia" w:ascii="仿宋_GB2312" w:hAnsi="宋体" w:eastAsia="仿宋_GB2312" w:cs="Times New Roman"/>
          <w:sz w:val="32"/>
          <w:szCs w:val="32"/>
          <w:lang w:eastAsia="zh-CN"/>
        </w:rPr>
      </w:pPr>
      <w:bookmarkStart w:id="0" w:name="_GoBack"/>
      <w:r>
        <w:rPr>
          <w:rFonts w:hint="eastAsia" w:ascii="仿宋_GB2312" w:hAnsi="宋体" w:eastAsia="仿宋_GB2312" w:cs="Times New Roman"/>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bookmarkEnd w:id="0"/>
    </w:p>
    <w:p>
      <w:pPr>
        <w:widowControl/>
        <w:jc w:val="left"/>
        <w:rPr>
          <w:rFonts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cs="Times New Roman"/>
                  </w:rPr>
                </w:pPr>
                <w:r>
                  <w:fldChar w:fldCharType="begin"/>
                </w:r>
                <w:r>
                  <w:instrText xml:space="preserve"> PAGE  \* MERGEFORMAT </w:instrText>
                </w:r>
                <w:r>
                  <w:fldChar w:fldCharType="separate"/>
                </w:r>
                <w:r>
                  <w:t>8</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665B"/>
    <w:multiLevelType w:val="singleLevel"/>
    <w:tmpl w:val="268E66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RiMjZkOGRkMTkxZWQ1OTA3OWQxMDRkZDQ3YjEyZDkifQ=="/>
  </w:docVars>
  <w:rsids>
    <w:rsidRoot w:val="00000000"/>
    <w:rsid w:val="191C4EED"/>
    <w:rsid w:val="54957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qFormat/>
    <w:uiPriority w:val="99"/>
    <w:rPr>
      <w:sz w:val="18"/>
      <w:szCs w:val="18"/>
    </w:rPr>
  </w:style>
  <w:style w:type="character" w:customStyle="1" w:styleId="10">
    <w:name w:val="Header Char"/>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8</Pages>
  <Words>2836</Words>
  <Characters>3068</Characters>
  <Lines>0</Lines>
  <Paragraphs>0</Paragraphs>
  <TotalTime>1</TotalTime>
  <ScaleCrop>false</ScaleCrop>
  <LinksUpToDate>false</LinksUpToDate>
  <CharactersWithSpaces>3077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2022-08-28T13:29:00Z</dcterms:created>
  <dc:creator>null,null,总收发</dc:creator>
  <cp:lastModifiedBy>琳琳小不点儿</cp:lastModifiedBy>
  <cp:lastPrinted>2022-05-18T02:02:00Z</cp:lastPrinted>
  <dcterms:modified xsi:type="dcterms:W3CDTF">2022-09-08T07:10:37Z</dcterms:modified>
  <dc:title>邓州市2021年人社局单位预算基本情况说明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B987AE1EDC284797AEAF6DAC21844E28</vt:lpwstr>
  </property>
</Properties>
</file>