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28"/>
          <w:szCs w:val="28"/>
        </w:rPr>
      </w:pPr>
      <w:r>
        <w:rPr>
          <w:rFonts w:hint="eastAsia" w:ascii="仿宋_GB2312" w:hAnsi="黑体" w:eastAsia="仿宋_GB2312" w:cs="仿宋_GB2312"/>
          <w:b/>
          <w:bCs/>
          <w:w w:val="90"/>
          <w:sz w:val="44"/>
          <w:szCs w:val="44"/>
        </w:rPr>
        <w:t>邓州市</w:t>
      </w:r>
      <w:r>
        <w:rPr>
          <w:rFonts w:ascii="仿宋_GB2312" w:hAnsi="黑体" w:eastAsia="仿宋_GB2312" w:cs="仿宋_GB2312"/>
          <w:b/>
          <w:bCs/>
          <w:w w:val="90"/>
          <w:sz w:val="44"/>
          <w:szCs w:val="44"/>
        </w:rPr>
        <w:t>2021</w:t>
      </w:r>
      <w:r>
        <w:rPr>
          <w:rFonts w:hint="eastAsia" w:ascii="仿宋_GB2312" w:hAnsi="黑体" w:eastAsia="仿宋_GB2312" w:cs="仿宋_GB2312"/>
          <w:b/>
          <w:bCs/>
          <w:w w:val="90"/>
          <w:sz w:val="44"/>
          <w:szCs w:val="44"/>
        </w:rPr>
        <w:t>年职业介绍服务中心单位预算基本情况说明</w:t>
      </w:r>
    </w:p>
    <w:p>
      <w:pPr>
        <w:jc w:val="center"/>
        <w:rPr>
          <w:rFonts w:ascii="黑体" w:hAnsi="宋体" w:eastAsia="黑体" w:cs="Times New Roman"/>
          <w:sz w:val="36"/>
          <w:szCs w:val="36"/>
        </w:rPr>
      </w:pPr>
      <w:r>
        <w:rPr>
          <w:rFonts w:hint="eastAsia" w:ascii="黑体" w:hAnsi="宋体" w:eastAsia="黑体" w:cs="黑体"/>
          <w:sz w:val="36"/>
          <w:szCs w:val="36"/>
        </w:rPr>
        <w:t>目</w:t>
      </w:r>
      <w:r>
        <w:rPr>
          <w:rFonts w:ascii="黑体" w:hAnsi="宋体" w:eastAsia="黑体" w:cs="黑体"/>
          <w:sz w:val="36"/>
          <w:szCs w:val="36"/>
        </w:rPr>
        <w:t xml:space="preserve">  </w:t>
      </w:r>
      <w:r>
        <w:rPr>
          <w:rFonts w:hint="eastAsia" w:ascii="黑体" w:hAnsi="宋体" w:eastAsia="黑体" w:cs="黑体"/>
          <w:sz w:val="36"/>
          <w:szCs w:val="36"/>
        </w:rPr>
        <w:t>录</w:t>
      </w:r>
    </w:p>
    <w:p>
      <w:pPr>
        <w:spacing w:beforeLines="100"/>
        <w:jc w:val="left"/>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邓州市职业介绍服务中心概况</w:t>
      </w:r>
    </w:p>
    <w:p>
      <w:pPr>
        <w:pStyle w:val="7"/>
        <w:ind w:firstLine="0"/>
        <w:jc w:val="left"/>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一、主要职责</w:t>
      </w:r>
    </w:p>
    <w:p>
      <w:pPr>
        <w:pStyle w:val="7"/>
        <w:ind w:firstLine="0"/>
        <w:jc w:val="left"/>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二、预算单位构成情况</w:t>
      </w:r>
    </w:p>
    <w:p>
      <w:pPr>
        <w:jc w:val="left"/>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邓州市职业介绍服务中心</w:t>
      </w:r>
      <w:r>
        <w:rPr>
          <w:rFonts w:ascii="黑体" w:hAnsi="宋体" w:eastAsia="黑体" w:cs="黑体"/>
          <w:sz w:val="32"/>
          <w:szCs w:val="32"/>
        </w:rPr>
        <w:t>2021</w:t>
      </w:r>
      <w:r>
        <w:rPr>
          <w:rFonts w:hint="eastAsia" w:ascii="黑体" w:hAnsi="宋体" w:eastAsia="黑体" w:cs="黑体"/>
          <w:sz w:val="32"/>
          <w:szCs w:val="32"/>
        </w:rPr>
        <w:t>年单位预算情况说明</w:t>
      </w:r>
    </w:p>
    <w:p>
      <w:pPr>
        <w:jc w:val="left"/>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ascii="仿宋_GB2312" w:hAnsi="宋体" w:eastAsia="仿宋_GB2312" w:cs="Times New Roman"/>
          <w:sz w:val="32"/>
          <w:szCs w:val="32"/>
        </w:rPr>
      </w:pPr>
      <w:r>
        <w:rPr>
          <w:rFonts w:hint="eastAsia" w:ascii="黑体" w:hAnsi="宋体" w:eastAsia="黑体" w:cs="黑体"/>
          <w:sz w:val="32"/>
          <w:szCs w:val="32"/>
        </w:rPr>
        <w:t>附件</w:t>
      </w:r>
      <w:r>
        <w:rPr>
          <w:rFonts w:hint="eastAsia" w:ascii="仿宋_GB2312" w:hAnsi="宋体" w:eastAsia="仿宋_GB2312" w:cs="仿宋_GB2312"/>
          <w:sz w:val="32"/>
          <w:szCs w:val="32"/>
        </w:rPr>
        <w:t>：</w:t>
      </w:r>
      <w:r>
        <w:rPr>
          <w:rFonts w:ascii="仿宋_GB2312" w:hAnsi="宋体" w:eastAsia="仿宋_GB2312" w:cs="仿宋_GB2312"/>
          <w:sz w:val="32"/>
          <w:szCs w:val="32"/>
        </w:rPr>
        <w:t>2021</w:t>
      </w:r>
      <w:r>
        <w:rPr>
          <w:rFonts w:hint="eastAsia" w:ascii="仿宋_GB2312" w:hAnsi="宋体" w:eastAsia="仿宋_GB2312" w:cs="仿宋_GB2312"/>
          <w:sz w:val="32"/>
          <w:szCs w:val="32"/>
        </w:rPr>
        <w:t>年度单位预算表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一、单位收支总体情况表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二、单位收入总体情况表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三、单位支出总体情况表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四、财政拨款收支总体情况表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五、一般公共预算支出情况表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六、一般公共预算基本支出情况表</w:t>
      </w:r>
    </w:p>
    <w:p>
      <w:pPr>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七、一般公共预算“三公”经费支出情况表</w:t>
      </w:r>
    </w:p>
    <w:p>
      <w:pPr>
        <w:snapToGrid w:val="0"/>
        <w:spacing w:line="360" w:lineRule="auto"/>
        <w:ind w:firstLine="425" w:firstLineChars="133"/>
        <w:rPr>
          <w:rFonts w:ascii="仿宋_GB2312" w:hAnsi="宋体" w:eastAsia="仿宋_GB2312" w:cs="Times New Roman"/>
          <w:sz w:val="28"/>
          <w:szCs w:val="28"/>
        </w:rPr>
      </w:pPr>
      <w:r>
        <w:rPr>
          <w:rFonts w:hint="eastAsia" w:ascii="仿宋_GB2312" w:hAnsi="宋体" w:eastAsia="仿宋_GB2312" w:cs="仿宋_GB2312"/>
          <w:sz w:val="32"/>
          <w:szCs w:val="32"/>
        </w:rPr>
        <w:t>八、政府性基金预算支出情况表</w:t>
      </w:r>
    </w:p>
    <w:p>
      <w:pPr>
        <w:snapToGrid w:val="0"/>
        <w:spacing w:line="360" w:lineRule="auto"/>
        <w:ind w:firstLine="425" w:firstLineChars="133"/>
        <w:rPr>
          <w:rFonts w:ascii="仿宋_GB2312" w:hAnsi="宋体" w:eastAsia="仿宋_GB2312" w:cs="Times New Roman"/>
          <w:sz w:val="32"/>
          <w:szCs w:val="32"/>
        </w:rPr>
      </w:pPr>
      <w:r>
        <w:rPr>
          <w:rFonts w:hint="eastAsia" w:ascii="仿宋_GB2312" w:hAnsi="宋体" w:eastAsia="仿宋_GB2312" w:cs="仿宋_GB2312"/>
          <w:sz w:val="32"/>
          <w:szCs w:val="32"/>
        </w:rPr>
        <w:t>九、支出经济分类汇总表</w:t>
      </w:r>
    </w:p>
    <w:p>
      <w:pPr>
        <w:snapToGrid w:val="0"/>
        <w:spacing w:line="360" w:lineRule="auto"/>
        <w:ind w:firstLine="372" w:firstLineChars="133"/>
        <w:rPr>
          <w:rFonts w:ascii="仿宋_GB2312" w:hAnsi="宋体" w:eastAsia="仿宋_GB2312" w:cs="Times New Roman"/>
          <w:sz w:val="28"/>
          <w:szCs w:val="28"/>
        </w:rPr>
      </w:pPr>
    </w:p>
    <w:p>
      <w:pPr>
        <w:ind w:firstLine="427" w:firstLineChars="133"/>
        <w:rPr>
          <w:rFonts w:ascii="仿宋_GB2312" w:hAnsi="宋体" w:eastAsia="仿宋_GB2312" w:cs="Times New Roman"/>
          <w:b/>
          <w:bCs/>
          <w:sz w:val="32"/>
          <w:szCs w:val="32"/>
        </w:rPr>
      </w:pPr>
      <w:r>
        <w:rPr>
          <w:rFonts w:ascii="仿宋_GB2312" w:hAnsi="宋体" w:eastAsia="仿宋_GB2312" w:cs="Times New Roman"/>
          <w:b/>
          <w:bCs/>
          <w:sz w:val="32"/>
          <w:szCs w:val="32"/>
        </w:rPr>
        <w:br w:type="page"/>
      </w:r>
    </w:p>
    <w:p>
      <w:pPr>
        <w:jc w:val="center"/>
        <w:rPr>
          <w:rFonts w:ascii="黑体" w:hAnsi="宋体" w:eastAsia="黑体" w:cs="Times New Roman"/>
          <w:sz w:val="32"/>
          <w:szCs w:val="32"/>
        </w:rPr>
      </w:pPr>
      <w:r>
        <w:rPr>
          <w:rFonts w:hint="eastAsia" w:ascii="黑体" w:hAnsi="宋体" w:eastAsia="黑体" w:cs="黑体"/>
          <w:sz w:val="32"/>
          <w:szCs w:val="32"/>
        </w:rPr>
        <w:t>第一部分</w:t>
      </w:r>
    </w:p>
    <w:p>
      <w:pPr>
        <w:jc w:val="center"/>
        <w:rPr>
          <w:rFonts w:ascii="仿宋_GB2312" w:eastAsia="仿宋_GB2312" w:cs="Times New Roman"/>
          <w:b/>
          <w:bCs/>
          <w:sz w:val="32"/>
          <w:szCs w:val="32"/>
        </w:rPr>
      </w:pPr>
      <w:r>
        <w:rPr>
          <w:rFonts w:hint="eastAsia" w:ascii="黑体" w:hAnsi="宋体" w:eastAsia="黑体" w:cs="黑体"/>
          <w:sz w:val="32"/>
          <w:szCs w:val="32"/>
        </w:rPr>
        <w:t>邓州市职业介绍服务中心概况</w:t>
      </w:r>
    </w:p>
    <w:p>
      <w:pPr>
        <w:ind w:firstLine="566" w:firstLineChars="177"/>
        <w:rPr>
          <w:rFonts w:ascii="黑体" w:eastAsia="黑体" w:cs="Times New Roman"/>
          <w:sz w:val="32"/>
          <w:szCs w:val="32"/>
        </w:rPr>
      </w:pPr>
      <w:r>
        <w:rPr>
          <w:rFonts w:hint="eastAsia" w:ascii="黑体" w:eastAsia="黑体" w:cs="黑体"/>
          <w:sz w:val="32"/>
          <w:szCs w:val="32"/>
        </w:rPr>
        <w:t>一、主要职责</w:t>
      </w:r>
    </w:p>
    <w:p>
      <w:pPr>
        <w:ind w:firstLine="566" w:firstLineChars="177"/>
        <w:rPr>
          <w:rFonts w:ascii="仿宋_GB2312" w:eastAsia="仿宋_GB2312" w:cs="Times New Roman"/>
          <w:sz w:val="32"/>
          <w:szCs w:val="32"/>
        </w:rPr>
      </w:pPr>
      <w:r>
        <w:rPr>
          <w:rFonts w:hint="eastAsia" w:ascii="仿宋_GB2312" w:eastAsia="仿宋_GB2312" w:cs="仿宋_GB2312"/>
          <w:sz w:val="32"/>
          <w:szCs w:val="32"/>
        </w:rPr>
        <w:t>一是宣传劳动和社会保障的法律、法规和政策，为求职者和用人单位提供就业政策法规及服务咨询；二是做好人力资源市场体系建设，收集、整理、发布人力资源市场供求信息，建立人力资源市场信息资源库和个人求职信息数据库，开展劳动力供求情况预测和调查；三是为用人单位招聘和劳动者求职进行用工、求职登记。用人单位招聘登记的内容主要包括用人单位的基本情况、用人条件、工资待遇等；劳动者求职登记的内容主要包括求职者本人的基本情况、职业经历、技能水平、求职愿望等；四是为用人单位提供劳动力资源信息和介绍用工，为求职人员提供职业需求信息和推荐就业；五是为用人单位招聘和劳动者求职提供职业指导和职业咨询、职业介绍服务。开展对求职者素质的测试和能力评估工作，帮助其了解职业状况，掌握求职方法和技巧，指导用人单位正确招聘用人和按规定招聘用人；六是定期不定期组织劳动力供求双方招聘洽谈会；七是保管全市职工档案；八是办理劳动保障事务代理业务；九是办理就业、失业登记、用工备案和《就业失业登记证》的发放；十是承办人社保障行政部门授权和委托的其他事项。</w:t>
      </w:r>
    </w:p>
    <w:p>
      <w:pPr>
        <w:ind w:firstLine="566" w:firstLineChars="177"/>
        <w:rPr>
          <w:rFonts w:ascii="黑体" w:eastAsia="黑体" w:cs="Times New Roman"/>
          <w:sz w:val="32"/>
          <w:szCs w:val="32"/>
        </w:rPr>
      </w:pPr>
      <w:r>
        <w:rPr>
          <w:rFonts w:hint="eastAsia" w:ascii="黑体" w:eastAsia="黑体" w:cs="黑体"/>
          <w:sz w:val="32"/>
          <w:szCs w:val="32"/>
        </w:rPr>
        <w:t>二、单位预算构成情况</w:t>
      </w:r>
    </w:p>
    <w:p>
      <w:pPr>
        <w:ind w:firstLine="566" w:firstLineChars="177"/>
        <w:rPr>
          <w:rFonts w:ascii="仿宋_GB2312" w:eastAsia="仿宋_GB2312" w:cs="Times New Roman"/>
          <w:sz w:val="32"/>
          <w:szCs w:val="32"/>
        </w:rPr>
      </w:pPr>
      <w:r>
        <w:rPr>
          <w:rFonts w:hint="eastAsia" w:ascii="仿宋_GB2312" w:eastAsia="仿宋_GB2312" w:cs="仿宋_GB2312"/>
          <w:sz w:val="32"/>
          <w:szCs w:val="32"/>
        </w:rPr>
        <w:t>邓州市职业介绍服务中心仅包括邓州市职业介绍服务中心的预算。</w:t>
      </w:r>
    </w:p>
    <w:p>
      <w:pPr>
        <w:jc w:val="center"/>
        <w:rPr>
          <w:rFonts w:ascii="黑体" w:hAnsi="宋体" w:eastAsia="黑体" w:cs="Times New Roman"/>
          <w:sz w:val="32"/>
          <w:szCs w:val="32"/>
        </w:rPr>
      </w:pPr>
      <w:r>
        <w:rPr>
          <w:rFonts w:hint="eastAsia" w:ascii="黑体" w:hAnsi="宋体" w:eastAsia="黑体" w:cs="黑体"/>
          <w:sz w:val="32"/>
          <w:szCs w:val="32"/>
        </w:rPr>
        <w:t>第二部分</w:t>
      </w:r>
    </w:p>
    <w:p>
      <w:pPr>
        <w:jc w:val="center"/>
        <w:rPr>
          <w:rFonts w:ascii="黑体" w:hAnsi="宋体" w:eastAsia="黑体" w:cs="Times New Roman"/>
          <w:sz w:val="32"/>
          <w:szCs w:val="32"/>
        </w:rPr>
      </w:pPr>
      <w:r>
        <w:rPr>
          <w:rFonts w:hint="eastAsia" w:ascii="黑体" w:hAnsi="宋体" w:eastAsia="黑体" w:cs="黑体"/>
          <w:sz w:val="32"/>
          <w:szCs w:val="32"/>
        </w:rPr>
        <w:t>邓州市职业介绍服务中心</w:t>
      </w:r>
      <w:r>
        <w:rPr>
          <w:rFonts w:ascii="黑体" w:hAnsi="宋体" w:eastAsia="黑体" w:cs="黑体"/>
          <w:sz w:val="32"/>
          <w:szCs w:val="32"/>
        </w:rPr>
        <w:t>2021</w:t>
      </w:r>
      <w:r>
        <w:rPr>
          <w:rFonts w:hint="eastAsia" w:ascii="黑体" w:hAnsi="宋体" w:eastAsia="黑体" w:cs="黑体"/>
          <w:sz w:val="32"/>
          <w:szCs w:val="32"/>
        </w:rPr>
        <w:t>年单位预算情况说明</w:t>
      </w:r>
    </w:p>
    <w:p>
      <w:pPr>
        <w:spacing w:beforeLines="100"/>
        <w:ind w:firstLine="709"/>
        <w:rPr>
          <w:rFonts w:ascii="黑体" w:eastAsia="黑体" w:cs="Times New Roman"/>
          <w:sz w:val="32"/>
          <w:szCs w:val="32"/>
        </w:rPr>
      </w:pPr>
      <w:r>
        <w:rPr>
          <w:rFonts w:hint="eastAsia" w:ascii="黑体" w:eastAsia="黑体" w:cs="黑体"/>
          <w:sz w:val="32"/>
          <w:szCs w:val="32"/>
        </w:rPr>
        <w:t>一、收入支出预算总体情况说明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年收入总计</w:t>
      </w:r>
      <w:r>
        <w:rPr>
          <w:rFonts w:ascii="仿宋_GB2312" w:eastAsia="仿宋_GB2312" w:cs="仿宋_GB2312"/>
          <w:sz w:val="32"/>
          <w:szCs w:val="32"/>
        </w:rPr>
        <w:t>74.71</w:t>
      </w:r>
      <w:r>
        <w:rPr>
          <w:rFonts w:hint="eastAsia" w:ascii="仿宋_GB2312" w:eastAsia="仿宋_GB2312" w:cs="仿宋_GB2312"/>
          <w:sz w:val="32"/>
          <w:szCs w:val="32"/>
        </w:rPr>
        <w:t>万元，支出总计</w:t>
      </w:r>
      <w:r>
        <w:rPr>
          <w:rFonts w:ascii="仿宋_GB2312" w:eastAsia="仿宋_GB2312" w:cs="仿宋_GB2312"/>
          <w:sz w:val="32"/>
          <w:szCs w:val="32"/>
        </w:rPr>
        <w:t>74.71</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年相比，收入、支出各</w:t>
      </w:r>
      <w:r>
        <w:rPr>
          <w:rFonts w:hint="eastAsia" w:ascii="仿宋_GB2312" w:eastAsia="仿宋_GB2312" w:cs="仿宋_GB2312"/>
          <w:color w:val="000000"/>
          <w:sz w:val="32"/>
          <w:szCs w:val="32"/>
        </w:rPr>
        <w:t>降低</w:t>
      </w:r>
      <w:r>
        <w:rPr>
          <w:rFonts w:ascii="仿宋_GB2312" w:eastAsia="仿宋_GB2312" w:cs="仿宋_GB2312"/>
          <w:color w:val="000000"/>
          <w:sz w:val="32"/>
          <w:szCs w:val="32"/>
        </w:rPr>
        <w:t>11.76</w:t>
      </w:r>
      <w:r>
        <w:rPr>
          <w:rFonts w:hint="eastAsia" w:ascii="仿宋_GB2312" w:eastAsia="仿宋_GB2312" w:cs="仿宋_GB2312"/>
          <w:sz w:val="32"/>
          <w:szCs w:val="32"/>
        </w:rPr>
        <w:t>万元。主要原因是：</w:t>
      </w:r>
    </w:p>
    <w:p>
      <w:pPr>
        <w:rPr>
          <w:rFonts w:ascii="仿宋_GB2312" w:eastAsia="仿宋_GB2312" w:cs="Times New Roman"/>
          <w:sz w:val="32"/>
          <w:szCs w:val="32"/>
        </w:rPr>
      </w:pPr>
      <w:r>
        <w:rPr>
          <w:rFonts w:hint="eastAsia" w:ascii="仿宋_GB2312" w:eastAsia="仿宋_GB2312" w:cs="仿宋_GB2312"/>
          <w:sz w:val="32"/>
          <w:szCs w:val="32"/>
        </w:rPr>
        <w:t>进一步压减一般性支出和人员变动。</w:t>
      </w:r>
    </w:p>
    <w:p>
      <w:pPr>
        <w:ind w:firstLine="567"/>
        <w:rPr>
          <w:rFonts w:ascii="黑体" w:eastAsia="黑体" w:cs="Times New Roman"/>
          <w:sz w:val="32"/>
          <w:szCs w:val="32"/>
        </w:rPr>
      </w:pPr>
      <w:r>
        <w:rPr>
          <w:rFonts w:hint="eastAsia" w:ascii="黑体" w:eastAsia="黑体" w:cs="黑体"/>
          <w:sz w:val="32"/>
          <w:szCs w:val="32"/>
        </w:rPr>
        <w:t>二、收入预算总体情况说明</w:t>
      </w:r>
    </w:p>
    <w:p>
      <w:pPr>
        <w:ind w:firstLine="707" w:firstLineChars="221"/>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年收入预算</w:t>
      </w:r>
      <w:r>
        <w:rPr>
          <w:rFonts w:ascii="仿宋_GB2312" w:eastAsia="仿宋_GB2312" w:cs="仿宋_GB2312"/>
          <w:sz w:val="32"/>
          <w:szCs w:val="32"/>
        </w:rPr>
        <w:t>74.71</w:t>
      </w:r>
      <w:r>
        <w:rPr>
          <w:rFonts w:hint="eastAsia" w:ascii="仿宋_GB2312" w:eastAsia="仿宋_GB2312" w:cs="仿宋_GB2312"/>
          <w:sz w:val="32"/>
          <w:szCs w:val="32"/>
        </w:rPr>
        <w:t>万元，其中：</w:t>
      </w:r>
      <w:r>
        <w:rPr>
          <w:rFonts w:hint="eastAsia" w:eastAsia="仿宋_GB2312" w:cs="仿宋_GB2312"/>
          <w:sz w:val="32"/>
          <w:szCs w:val="32"/>
        </w:rPr>
        <w:t>一般公共预算收入</w:t>
      </w:r>
      <w:r>
        <w:rPr>
          <w:rFonts w:ascii="仿宋_GB2312" w:eastAsia="仿宋_GB2312" w:cs="仿宋_GB2312"/>
          <w:sz w:val="32"/>
          <w:szCs w:val="32"/>
        </w:rPr>
        <w:t>74.71</w:t>
      </w:r>
      <w:r>
        <w:rPr>
          <w:rFonts w:hint="eastAsia" w:ascii="仿宋_GB2312" w:eastAsia="仿宋_GB2312" w:cs="仿宋_GB2312"/>
          <w:sz w:val="32"/>
          <w:szCs w:val="32"/>
        </w:rPr>
        <w:t>万元，政府性基金收入</w:t>
      </w:r>
      <w:r>
        <w:rPr>
          <w:rFonts w:ascii="仿宋_GB2312" w:eastAsia="仿宋_GB2312" w:cs="仿宋_GB2312"/>
          <w:sz w:val="32"/>
          <w:szCs w:val="32"/>
        </w:rPr>
        <w:t>0</w:t>
      </w:r>
      <w:r>
        <w:rPr>
          <w:rFonts w:hint="eastAsia" w:ascii="仿宋_GB2312" w:eastAsia="仿宋_GB2312" w:cs="仿宋_GB2312"/>
          <w:sz w:val="32"/>
          <w:szCs w:val="32"/>
        </w:rPr>
        <w:t>万元，国有资本经营预算收入</w:t>
      </w:r>
      <w:r>
        <w:rPr>
          <w:rFonts w:ascii="仿宋_GB2312" w:eastAsia="仿宋_GB2312" w:cs="仿宋_GB2312"/>
          <w:sz w:val="32"/>
          <w:szCs w:val="32"/>
        </w:rPr>
        <w:t>0</w:t>
      </w:r>
      <w:r>
        <w:rPr>
          <w:rFonts w:hint="eastAsia" w:ascii="仿宋_GB2312" w:eastAsia="仿宋_GB2312" w:cs="仿宋_GB2312"/>
          <w:sz w:val="32"/>
          <w:szCs w:val="32"/>
        </w:rPr>
        <w:t>万元，财政专户管理资金收入</w:t>
      </w:r>
      <w:r>
        <w:rPr>
          <w:rFonts w:ascii="仿宋_GB2312" w:eastAsia="仿宋_GB2312" w:cs="仿宋_GB2312"/>
          <w:sz w:val="32"/>
          <w:szCs w:val="32"/>
        </w:rPr>
        <w:t>0</w:t>
      </w:r>
      <w:r>
        <w:rPr>
          <w:rFonts w:hint="eastAsia" w:ascii="仿宋_GB2312" w:eastAsia="仿宋_GB2312" w:cs="仿宋_GB2312"/>
          <w:sz w:val="32"/>
          <w:szCs w:val="32"/>
        </w:rPr>
        <w:t>万元。</w:t>
      </w:r>
    </w:p>
    <w:p>
      <w:pPr>
        <w:ind w:firstLine="709"/>
        <w:rPr>
          <w:rFonts w:ascii="黑体" w:eastAsia="黑体" w:cs="Times New Roman"/>
          <w:sz w:val="32"/>
          <w:szCs w:val="32"/>
        </w:rPr>
      </w:pPr>
      <w:r>
        <w:rPr>
          <w:rFonts w:hint="eastAsia" w:ascii="黑体" w:eastAsia="黑体" w:cs="黑体"/>
          <w:sz w:val="32"/>
          <w:szCs w:val="32"/>
        </w:rPr>
        <w:t>三、支出预算总体情况说明</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年支出预算</w:t>
      </w:r>
      <w:r>
        <w:rPr>
          <w:rFonts w:ascii="仿宋_GB2312" w:eastAsia="仿宋_GB2312" w:cs="仿宋_GB2312"/>
          <w:sz w:val="32"/>
          <w:szCs w:val="32"/>
        </w:rPr>
        <w:t>74.71</w:t>
      </w:r>
      <w:r>
        <w:rPr>
          <w:rFonts w:hint="eastAsia" w:ascii="仿宋_GB2312" w:eastAsia="仿宋_GB2312" w:cs="仿宋_GB2312"/>
          <w:sz w:val="32"/>
          <w:szCs w:val="32"/>
        </w:rPr>
        <w:t>万元，其中：基本支出</w:t>
      </w:r>
      <w:r>
        <w:rPr>
          <w:rFonts w:ascii="仿宋_GB2312" w:eastAsia="仿宋_GB2312" w:cs="仿宋_GB2312"/>
          <w:sz w:val="32"/>
          <w:szCs w:val="32"/>
        </w:rPr>
        <w:t>70.71</w:t>
      </w:r>
      <w:r>
        <w:rPr>
          <w:rFonts w:hint="eastAsia" w:ascii="仿宋_GB2312" w:eastAsia="仿宋_GB2312" w:cs="仿宋_GB2312"/>
          <w:sz w:val="32"/>
          <w:szCs w:val="32"/>
        </w:rPr>
        <w:t>万元，占年度计划的</w:t>
      </w:r>
      <w:r>
        <w:rPr>
          <w:rFonts w:ascii="仿宋_GB2312" w:eastAsia="仿宋_GB2312" w:cs="仿宋_GB2312"/>
          <w:sz w:val="32"/>
          <w:szCs w:val="32"/>
        </w:rPr>
        <w:t>94.65%</w:t>
      </w:r>
      <w:r>
        <w:rPr>
          <w:rFonts w:hint="eastAsia" w:ascii="仿宋_GB2312" w:eastAsia="仿宋_GB2312" w:cs="仿宋_GB2312"/>
          <w:sz w:val="32"/>
          <w:szCs w:val="32"/>
        </w:rPr>
        <w:t>；项目支出</w:t>
      </w:r>
      <w:r>
        <w:rPr>
          <w:rFonts w:ascii="仿宋_GB2312" w:eastAsia="仿宋_GB2312" w:cs="仿宋_GB2312"/>
          <w:sz w:val="32"/>
          <w:szCs w:val="32"/>
        </w:rPr>
        <w:t>4</w:t>
      </w:r>
      <w:r>
        <w:rPr>
          <w:rFonts w:hint="eastAsia" w:ascii="仿宋_GB2312" w:eastAsia="仿宋_GB2312" w:cs="仿宋_GB2312"/>
          <w:sz w:val="32"/>
          <w:szCs w:val="32"/>
        </w:rPr>
        <w:t>万元，占年度计划的</w:t>
      </w:r>
      <w:r>
        <w:rPr>
          <w:rFonts w:ascii="仿宋_GB2312" w:eastAsia="仿宋_GB2312" w:cs="仿宋_GB2312"/>
          <w:sz w:val="32"/>
          <w:szCs w:val="32"/>
        </w:rPr>
        <w:t>5.35%</w:t>
      </w:r>
      <w:r>
        <w:rPr>
          <w:rFonts w:hint="eastAsia" w:ascii="仿宋_GB2312" w:eastAsia="仿宋_GB2312" w:cs="仿宋_GB2312"/>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四、财政拨款收支预算总体情况说明</w:t>
      </w:r>
    </w:p>
    <w:p>
      <w:pPr>
        <w:ind w:firstLine="640" w:firstLineChars="200"/>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年一般公共预算收支预算</w:t>
      </w:r>
      <w:r>
        <w:rPr>
          <w:rFonts w:ascii="仿宋_GB2312" w:eastAsia="仿宋_GB2312" w:cs="仿宋_GB2312"/>
          <w:sz w:val="32"/>
          <w:szCs w:val="32"/>
        </w:rPr>
        <w:t>74.71</w:t>
      </w:r>
      <w:r>
        <w:rPr>
          <w:rFonts w:hint="eastAsia" w:ascii="仿宋_GB2312" w:eastAsia="仿宋_GB2312" w:cs="仿宋_GB2312"/>
          <w:sz w:val="32"/>
          <w:szCs w:val="32"/>
        </w:rPr>
        <w:t>万元，政府性基金收支预算</w:t>
      </w:r>
      <w:r>
        <w:rPr>
          <w:rFonts w:ascii="仿宋_GB2312" w:eastAsia="仿宋_GB2312" w:cs="仿宋_GB2312"/>
          <w:sz w:val="32"/>
          <w:szCs w:val="32"/>
        </w:rPr>
        <w:t>0</w:t>
      </w:r>
      <w:r>
        <w:rPr>
          <w:rFonts w:hint="eastAsia" w:ascii="仿宋_GB2312" w:eastAsia="仿宋_GB2312" w:cs="仿宋_GB2312"/>
          <w:sz w:val="32"/>
          <w:szCs w:val="32"/>
        </w:rPr>
        <w:t>万元，国有资本经营收支预算</w:t>
      </w:r>
      <w:r>
        <w:rPr>
          <w:rFonts w:ascii="仿宋_GB2312" w:eastAsia="仿宋_GB2312" w:cs="仿宋_GB2312"/>
          <w:sz w:val="32"/>
          <w:szCs w:val="32"/>
        </w:rPr>
        <w:t>0</w:t>
      </w:r>
      <w:r>
        <w:rPr>
          <w:rFonts w:hint="eastAsia" w:ascii="仿宋_GB2312" w:eastAsia="仿宋_GB2312" w:cs="仿宋_GB2312"/>
          <w:sz w:val="32"/>
          <w:szCs w:val="32"/>
        </w:rPr>
        <w:t>万元，与</w:t>
      </w:r>
      <w:r>
        <w:rPr>
          <w:rFonts w:ascii="仿宋_GB2312" w:eastAsia="仿宋_GB2312" w:cs="仿宋_GB2312"/>
          <w:sz w:val="32"/>
          <w:szCs w:val="32"/>
        </w:rPr>
        <w:t>2020</w:t>
      </w:r>
      <w:r>
        <w:rPr>
          <w:rFonts w:hint="eastAsia" w:ascii="仿宋_GB2312" w:eastAsia="仿宋_GB2312" w:cs="仿宋_GB2312"/>
          <w:sz w:val="32"/>
          <w:szCs w:val="32"/>
        </w:rPr>
        <w:t>年相比，收入支出</w:t>
      </w:r>
      <w:r>
        <w:rPr>
          <w:rFonts w:hint="eastAsia" w:ascii="仿宋_GB2312" w:eastAsia="仿宋_GB2312" w:cs="仿宋_GB2312"/>
          <w:color w:val="000000"/>
          <w:sz w:val="32"/>
          <w:szCs w:val="32"/>
        </w:rPr>
        <w:t>减少</w:t>
      </w:r>
      <w:r>
        <w:rPr>
          <w:rFonts w:ascii="仿宋_GB2312" w:eastAsia="仿宋_GB2312" w:cs="仿宋_GB2312"/>
          <w:color w:val="000000"/>
          <w:sz w:val="32"/>
          <w:szCs w:val="32"/>
        </w:rPr>
        <w:t>11.76</w:t>
      </w:r>
      <w:r>
        <w:rPr>
          <w:rFonts w:hint="eastAsia" w:ascii="仿宋_GB2312" w:eastAsia="仿宋_GB2312" w:cs="仿宋_GB2312"/>
          <w:sz w:val="32"/>
          <w:szCs w:val="32"/>
        </w:rPr>
        <w:t>万元。主要原因是：进一步压减一般性支出和人员变动。</w:t>
      </w:r>
    </w:p>
    <w:p>
      <w:pPr>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五、一般公共预算支出预算情况说明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年一般公共预算支出年初预算为</w:t>
      </w:r>
      <w:r>
        <w:rPr>
          <w:rFonts w:ascii="仿宋_GB2312" w:eastAsia="仿宋_GB2312" w:cs="仿宋_GB2312"/>
          <w:sz w:val="32"/>
          <w:szCs w:val="32"/>
        </w:rPr>
        <w:t>74.71</w:t>
      </w:r>
      <w:r>
        <w:rPr>
          <w:rFonts w:hint="eastAsia" w:ascii="Times New Roman" w:hAnsi="Times New Roman" w:eastAsia="仿宋_GB2312" w:cs="仿宋_GB2312"/>
          <w:sz w:val="32"/>
          <w:szCs w:val="32"/>
        </w:rPr>
        <w:t>万元。其中：基本支出</w:t>
      </w:r>
      <w:r>
        <w:rPr>
          <w:rFonts w:ascii="仿宋_GB2312" w:eastAsia="仿宋_GB2312" w:cs="仿宋_GB2312"/>
          <w:sz w:val="32"/>
          <w:szCs w:val="32"/>
        </w:rPr>
        <w:t>70.71</w:t>
      </w:r>
      <w:r>
        <w:rPr>
          <w:rFonts w:hint="eastAsia" w:ascii="Times New Roman" w:hAnsi="Times New Roman" w:eastAsia="仿宋_GB2312" w:cs="仿宋_GB2312"/>
          <w:sz w:val="32"/>
          <w:szCs w:val="32"/>
        </w:rPr>
        <w:t>万元，占</w:t>
      </w:r>
      <w:r>
        <w:rPr>
          <w:rFonts w:ascii="仿宋_GB2312" w:eastAsia="仿宋_GB2312" w:cs="仿宋_GB2312"/>
          <w:sz w:val="32"/>
          <w:szCs w:val="32"/>
        </w:rPr>
        <w:t>94.65</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；项目支出</w:t>
      </w:r>
      <w:r>
        <w:rPr>
          <w:rFonts w:ascii="仿宋_GB2312" w:eastAsia="仿宋_GB2312" w:cs="仿宋_GB2312"/>
          <w:sz w:val="32"/>
          <w:szCs w:val="32"/>
        </w:rPr>
        <w:t>4</w:t>
      </w:r>
      <w:r>
        <w:rPr>
          <w:rFonts w:hint="eastAsia" w:ascii="Times New Roman" w:hAnsi="Times New Roman" w:eastAsia="仿宋_GB2312" w:cs="仿宋_GB2312"/>
          <w:sz w:val="32"/>
          <w:szCs w:val="32"/>
        </w:rPr>
        <w:t>万元，占</w:t>
      </w:r>
      <w:r>
        <w:rPr>
          <w:rFonts w:ascii="仿宋_GB2312" w:eastAsia="仿宋_GB2312" w:cs="仿宋_GB2312"/>
          <w:sz w:val="32"/>
          <w:szCs w:val="32"/>
        </w:rPr>
        <w:t>5.35</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p>
    <w:p>
      <w:pPr>
        <w:numPr>
          <w:ilvl w:val="0"/>
          <w:numId w:val="1"/>
        </w:numPr>
        <w:ind w:firstLine="709"/>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一般公共预算基本支出预算情况说明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年一般公共预算基本支出年初预算为</w:t>
      </w:r>
      <w:r>
        <w:rPr>
          <w:rFonts w:ascii="仿宋_GB2312" w:eastAsia="仿宋_GB2312" w:cs="仿宋_GB2312"/>
          <w:sz w:val="32"/>
          <w:szCs w:val="32"/>
        </w:rPr>
        <w:t>70.71</w:t>
      </w:r>
      <w:r>
        <w:rPr>
          <w:rFonts w:hint="eastAsia" w:ascii="Times New Roman" w:hAnsi="Times New Roman" w:eastAsia="仿宋_GB2312" w:cs="仿宋_GB2312"/>
          <w:sz w:val="32"/>
          <w:szCs w:val="32"/>
        </w:rPr>
        <w:t>万元。其中：人员经费支出</w:t>
      </w:r>
      <w:r>
        <w:rPr>
          <w:rFonts w:ascii="Times New Roman" w:hAnsi="Times New Roman" w:eastAsia="仿宋_GB2312" w:cs="Times New Roman"/>
          <w:sz w:val="32"/>
          <w:szCs w:val="32"/>
        </w:rPr>
        <w:t>68.65</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97.09%</w:t>
      </w:r>
      <w:r>
        <w:rPr>
          <w:rFonts w:hint="eastAsia" w:ascii="Times New Roman" w:hAnsi="Times New Roman" w:eastAsia="仿宋_GB2312" w:cs="仿宋_GB2312"/>
          <w:sz w:val="32"/>
          <w:szCs w:val="32"/>
        </w:rPr>
        <w:t>；公用经费支出</w:t>
      </w:r>
      <w:r>
        <w:rPr>
          <w:rFonts w:ascii="Times New Roman" w:hAnsi="Times New Roman" w:eastAsia="仿宋_GB2312" w:cs="Times New Roman"/>
          <w:sz w:val="32"/>
          <w:szCs w:val="32"/>
        </w:rPr>
        <w:t>2.06</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2.91%</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98</w:t>
      </w:r>
      <w:r>
        <w:rPr>
          <w:rFonts w:hint="eastAsia" w:ascii="Times New Roman" w:hAnsi="Times New Roman" w:eastAsia="仿宋_GB2312" w:cs="仿宋_GB2312"/>
          <w:sz w:val="32"/>
          <w:szCs w:val="32"/>
        </w:rPr>
        <w:t>号）要求，从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起全面实施支出经济分类科目改革，根据政府预算管理和部门预算管理的不同特点，分设部门预算支出经济分类科目和政府预算支出经济分类科目，两套科目之间保持对应关系。我单位《支出经济分类汇总表》，按两套经济分类科目分别反映不同资金来源的全部预算支出。</w:t>
      </w:r>
    </w:p>
    <w:p>
      <w:pPr>
        <w:ind w:firstLine="640" w:firstLineChars="200"/>
        <w:rPr>
          <w:rFonts w:ascii="黑体" w:eastAsia="黑体" w:cs="Times New Roman"/>
          <w:sz w:val="32"/>
          <w:szCs w:val="32"/>
        </w:rPr>
      </w:pPr>
      <w:r>
        <w:rPr>
          <w:rFonts w:hint="eastAsia" w:ascii="黑体" w:eastAsia="黑体" w:cs="黑体"/>
          <w:sz w:val="32"/>
          <w:szCs w:val="32"/>
        </w:rPr>
        <w:t>八、</w:t>
      </w:r>
      <w:r>
        <w:rPr>
          <w:rFonts w:hint="eastAsia" w:ascii="Times New Roman" w:hAnsi="Times New Roman" w:eastAsia="仿宋_GB2312" w:cs="仿宋_GB2312"/>
          <w:b/>
          <w:bCs/>
          <w:sz w:val="32"/>
          <w:szCs w:val="32"/>
        </w:rPr>
        <w:t>一般公共预算“三公”经费支出预算情况说明</w:t>
      </w:r>
    </w:p>
    <w:p>
      <w:pPr>
        <w:ind w:firstLine="640" w:firstLineChars="200"/>
        <w:rPr>
          <w:rFonts w:ascii="黑体" w:eastAsia="黑体"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年“三公”经费预算为</w:t>
      </w:r>
      <w:r>
        <w:rPr>
          <w:rFonts w:ascii="仿宋_GB2312" w:eastAsia="仿宋_GB2312" w:cs="仿宋_GB2312"/>
          <w:sz w:val="32"/>
          <w:szCs w:val="32"/>
        </w:rPr>
        <w:t>0.7</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0</w:t>
      </w:r>
      <w:r>
        <w:rPr>
          <w:rFonts w:hint="eastAsia" w:ascii="仿宋_GB2312" w:eastAsia="仿宋_GB2312" w:cs="仿宋_GB2312"/>
          <w:sz w:val="32"/>
          <w:szCs w:val="32"/>
        </w:rPr>
        <w:t>万元。</w:t>
      </w:r>
    </w:p>
    <w:p>
      <w:pPr>
        <w:kinsoku w:val="0"/>
        <w:overflowPunct w:val="0"/>
        <w:autoSpaceDE w:val="0"/>
        <w:autoSpaceDN w:val="0"/>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cs="仿宋_GB2312"/>
          <w:b/>
          <w:bCs/>
          <w:sz w:val="32"/>
          <w:szCs w:val="32"/>
        </w:rPr>
        <w:t>因公出国（境）费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主要用于单位工作人员公务出国（境）的住宿费、差旅费、伙食补助费、杂费、培训费等支出。预算数比</w:t>
      </w:r>
      <w:r>
        <w:rPr>
          <w:rFonts w:ascii="Times New Roman" w:hAnsi="Times New Roman" w:eastAsia="仿宋_GB2312" w:cs="Times New Roman"/>
          <w:sz w:val="32"/>
          <w:szCs w:val="32"/>
        </w:rPr>
        <w:t xml:space="preserve"> 2020</w:t>
      </w:r>
      <w:r>
        <w:rPr>
          <w:rFonts w:hint="eastAsia" w:ascii="Times New Roman" w:hAnsi="Times New Roman" w:eastAsia="仿宋_GB2312" w:cs="仿宋_GB2312"/>
          <w:sz w:val="32"/>
          <w:szCs w:val="32"/>
        </w:rPr>
        <w:t>年保持一致。</w:t>
      </w:r>
    </w:p>
    <w:p>
      <w:pPr>
        <w:ind w:left="19" w:leftChars="9" w:firstLine="623" w:firstLineChars="194"/>
        <w:rPr>
          <w:rFonts w:ascii="仿宋_GB2312" w:eastAsia="仿宋_GB2312" w:cs="Times New Roman"/>
          <w:sz w:val="32"/>
          <w:szCs w:val="32"/>
        </w:rPr>
      </w:pPr>
      <w:r>
        <w:rPr>
          <w:rFonts w:hint="eastAsia" w:ascii="仿宋_GB2312" w:eastAsia="仿宋_GB2312" w:cs="仿宋_GB2312"/>
          <w:b/>
          <w:bCs/>
          <w:sz w:val="32"/>
          <w:szCs w:val="32"/>
        </w:rPr>
        <w:t>公务用车购置费及维护费</w:t>
      </w:r>
      <w:r>
        <w:rPr>
          <w:rFonts w:ascii="仿宋_GB2312" w:eastAsia="仿宋_GB2312" w:cs="仿宋_GB2312"/>
          <w:b/>
          <w:bCs/>
          <w:sz w:val="32"/>
          <w:szCs w:val="32"/>
        </w:rPr>
        <w:t>0</w:t>
      </w:r>
      <w:r>
        <w:rPr>
          <w:rFonts w:hint="eastAsia" w:ascii="仿宋_GB2312" w:eastAsia="仿宋_GB2312" w:cs="仿宋_GB2312"/>
          <w:b/>
          <w:bCs/>
          <w:sz w:val="32"/>
          <w:szCs w:val="32"/>
        </w:rPr>
        <w:t>万元</w:t>
      </w:r>
      <w:r>
        <w:rPr>
          <w:rFonts w:hint="eastAsia" w:ascii="仿宋_GB2312" w:eastAsia="仿宋_GB2312" w:cs="仿宋_GB2312"/>
          <w:sz w:val="32"/>
          <w:szCs w:val="32"/>
        </w:rPr>
        <w:t>，其中，</w:t>
      </w:r>
      <w:r>
        <w:rPr>
          <w:rFonts w:hint="eastAsia" w:ascii="Times New Roman" w:hAnsi="Times New Roman" w:eastAsia="仿宋_GB2312" w:cs="仿宋_GB2312"/>
          <w:sz w:val="32"/>
          <w:szCs w:val="32"/>
        </w:rPr>
        <w:t>公务用车购置费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r>
        <w:rPr>
          <w:rFonts w:hint="eastAsia" w:ascii="仿宋_GB2312" w:eastAsia="仿宋_GB2312" w:cs="仿宋_GB2312"/>
          <w:sz w:val="32"/>
          <w:szCs w:val="32"/>
        </w:rPr>
        <w:t>公务用车维护费</w:t>
      </w:r>
      <w:r>
        <w:rPr>
          <w:rFonts w:ascii="仿宋_GB2312" w:eastAsia="仿宋_GB2312" w:cs="仿宋_GB2312"/>
          <w:sz w:val="32"/>
          <w:szCs w:val="32"/>
        </w:rPr>
        <w:t>0</w:t>
      </w:r>
      <w:r>
        <w:rPr>
          <w:rFonts w:hint="eastAsia" w:ascii="仿宋_GB2312" w:eastAsia="仿宋_GB2312" w:cs="仿宋_GB2312"/>
          <w:sz w:val="32"/>
          <w:szCs w:val="32"/>
        </w:rPr>
        <w:t>万元。</w:t>
      </w:r>
      <w:r>
        <w:rPr>
          <w:rFonts w:hint="eastAsia" w:ascii="Times New Roman" w:hAnsi="Times New Roman" w:eastAsia="仿宋_GB2312" w:cs="仿宋_GB2312"/>
          <w:sz w:val="32"/>
          <w:szCs w:val="32"/>
        </w:rPr>
        <w:t>主要用于开展工作所需公务用车的燃料费、维修费、过路过桥费、保险费等支出。公务用车购置费预算数与</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万元。公务用车运行维护费预算数比</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万元。主要原因：厉行勤俭节约，压减公务用车运行维护费。</w:t>
      </w:r>
    </w:p>
    <w:p>
      <w:pPr>
        <w:ind w:left="19" w:leftChars="9" w:firstLine="623" w:firstLineChars="194"/>
        <w:rPr>
          <w:rFonts w:ascii="仿宋_GB2312" w:eastAsia="仿宋_GB2312" w:cs="Times New Roman"/>
          <w:b/>
          <w:bCs/>
          <w:color w:val="FF0000"/>
          <w:sz w:val="32"/>
          <w:szCs w:val="32"/>
        </w:rPr>
      </w:pPr>
      <w:r>
        <w:rPr>
          <w:rFonts w:hint="eastAsia" w:ascii="仿宋_GB2312" w:eastAsia="仿宋_GB2312" w:cs="仿宋_GB2312"/>
          <w:b/>
          <w:bCs/>
          <w:sz w:val="32"/>
          <w:szCs w:val="32"/>
        </w:rPr>
        <w:t>公务接待费</w:t>
      </w:r>
      <w:r>
        <w:rPr>
          <w:rFonts w:ascii="仿宋_GB2312" w:eastAsia="仿宋_GB2312" w:cs="仿宋_GB2312"/>
          <w:b/>
          <w:bCs/>
          <w:sz w:val="32"/>
          <w:szCs w:val="32"/>
        </w:rPr>
        <w:t>0.7</w:t>
      </w:r>
      <w:r>
        <w:rPr>
          <w:rFonts w:hint="eastAsia" w:ascii="仿宋_GB2312" w:eastAsia="仿宋_GB2312" w:cs="仿宋_GB2312"/>
          <w:b/>
          <w:bCs/>
          <w:sz w:val="32"/>
          <w:szCs w:val="32"/>
        </w:rPr>
        <w:t>万元</w:t>
      </w:r>
      <w:r>
        <w:rPr>
          <w:rFonts w:hint="eastAsia" w:ascii="仿宋_GB2312" w:eastAsia="仿宋_GB2312" w:cs="仿宋_GB2312"/>
          <w:sz w:val="32"/>
          <w:szCs w:val="32"/>
        </w:rPr>
        <w:t>。</w:t>
      </w:r>
      <w:r>
        <w:rPr>
          <w:rFonts w:hint="eastAsia" w:ascii="Times New Roman" w:hAnsi="Times New Roman" w:eastAsia="仿宋_GB2312" w:cs="仿宋_GB2312"/>
          <w:sz w:val="32"/>
          <w:szCs w:val="32"/>
        </w:rPr>
        <w:t>主要用于按规定开支的各类公务接待支出。预算数比</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年减少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万元。主要原因：按照中央八项规定，减少公务接待开支。</w:t>
      </w:r>
    </w:p>
    <w:p>
      <w:pPr>
        <w:ind w:firstLine="640" w:firstLineChars="200"/>
        <w:rPr>
          <w:rFonts w:ascii="黑体" w:eastAsia="黑体" w:cs="Times New Roman"/>
          <w:sz w:val="32"/>
          <w:szCs w:val="32"/>
        </w:rPr>
      </w:pPr>
      <w:r>
        <w:rPr>
          <w:rFonts w:hint="eastAsia" w:ascii="黑体" w:eastAsia="黑体" w:cs="黑体"/>
          <w:sz w:val="32"/>
          <w:szCs w:val="32"/>
        </w:rPr>
        <w:t>九、政府性基金预算支出预算情况说明</w:t>
      </w:r>
    </w:p>
    <w:p>
      <w:pPr>
        <w:ind w:firstLine="709"/>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年没有使用政府性基金预算拨款安排的支出。</w:t>
      </w:r>
    </w:p>
    <w:p>
      <w:pPr>
        <w:ind w:firstLine="709"/>
        <w:rPr>
          <w:rFonts w:ascii="黑体" w:eastAsia="黑体" w:cs="Times New Roman"/>
          <w:sz w:val="32"/>
          <w:szCs w:val="32"/>
        </w:rPr>
      </w:pPr>
      <w:r>
        <w:rPr>
          <w:rFonts w:hint="eastAsia" w:ascii="黑体" w:eastAsia="黑体" w:cs="黑体"/>
          <w:sz w:val="32"/>
          <w:szCs w:val="32"/>
        </w:rPr>
        <w:t>十、其他重要事项的情况说明</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（一）机关运行经费支出情况说明</w:t>
      </w:r>
    </w:p>
    <w:p>
      <w:pPr>
        <w:ind w:firstLine="70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我单位不是行政机关，也不是参照公务员管理事业单位，没有机关运行经费支出。</w:t>
      </w:r>
    </w:p>
    <w:p>
      <w:pPr>
        <w:ind w:firstLine="709"/>
        <w:rPr>
          <w:rFonts w:ascii="仿宋_GB2312" w:eastAsia="仿宋_GB2312" w:cs="Times New Roman"/>
          <w:b/>
          <w:bCs/>
          <w:sz w:val="32"/>
          <w:szCs w:val="32"/>
        </w:rPr>
      </w:pPr>
      <w:bookmarkStart w:id="0" w:name="_GoBack"/>
      <w:bookmarkEnd w:id="0"/>
      <w:r>
        <w:rPr>
          <w:rFonts w:hint="eastAsia" w:ascii="仿宋_GB2312" w:eastAsia="仿宋_GB2312" w:cs="仿宋_GB2312"/>
          <w:b/>
          <w:bCs/>
          <w:sz w:val="32"/>
          <w:szCs w:val="32"/>
        </w:rPr>
        <w:t>（二）政府采购支出情况</w:t>
      </w:r>
    </w:p>
    <w:p>
      <w:pPr>
        <w:ind w:firstLine="709"/>
        <w:rPr>
          <w:rFonts w:ascii="仿宋_GB2312" w:eastAsia="仿宋_GB2312" w:cs="Times New Roman"/>
          <w:sz w:val="32"/>
          <w:szCs w:val="32"/>
        </w:rPr>
      </w:pPr>
      <w:r>
        <w:rPr>
          <w:rFonts w:ascii="仿宋_GB2312" w:eastAsia="仿宋_GB2312" w:cs="仿宋_GB2312"/>
          <w:sz w:val="32"/>
          <w:szCs w:val="32"/>
        </w:rPr>
        <w:t>2021</w:t>
      </w:r>
      <w:r>
        <w:rPr>
          <w:rFonts w:hint="eastAsia" w:ascii="仿宋_GB2312" w:eastAsia="仿宋_GB2312" w:cs="仿宋_GB2312"/>
          <w:sz w:val="32"/>
          <w:szCs w:val="32"/>
        </w:rPr>
        <w:t>年无政府采购预算安排。</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（三）绩效目标设置情况</w:t>
      </w:r>
    </w:p>
    <w:p>
      <w:pPr>
        <w:ind w:firstLine="640" w:firstLineChars="200"/>
        <w:rPr>
          <w:rFonts w:ascii="仿宋_GB2312" w:eastAsia="仿宋_GB2312" w:cs="Times New Roman"/>
          <w:sz w:val="32"/>
          <w:szCs w:val="32"/>
          <w:highlight w:val="yellow"/>
        </w:rPr>
      </w:pPr>
      <w:r>
        <w:rPr>
          <w:rFonts w:hint="eastAsia" w:ascii="仿宋_GB2312" w:eastAsia="仿宋_GB2312" w:cs="仿宋_GB2312"/>
          <w:sz w:val="32"/>
          <w:szCs w:val="32"/>
        </w:rPr>
        <w:t>我单位</w:t>
      </w:r>
      <w:r>
        <w:rPr>
          <w:rFonts w:ascii="仿宋_GB2312" w:eastAsia="仿宋_GB2312" w:cs="仿宋_GB2312"/>
          <w:sz w:val="32"/>
          <w:szCs w:val="32"/>
        </w:rPr>
        <w:t>2021</w:t>
      </w:r>
      <w:r>
        <w:rPr>
          <w:rFonts w:hint="eastAsia" w:ascii="仿宋_GB2312" w:eastAsia="仿宋_GB2312" w:cs="仿宋_GB2312"/>
          <w:sz w:val="32"/>
          <w:szCs w:val="32"/>
        </w:rPr>
        <w:t>年预算，暂未进行项目预算绩效管理工作。</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（四）国有资产占用情况</w:t>
      </w:r>
    </w:p>
    <w:p>
      <w:pPr>
        <w:ind w:firstLine="709"/>
        <w:rPr>
          <w:rFonts w:ascii="仿宋_GB2312" w:eastAsia="仿宋_GB2312" w:cs="Times New Roman"/>
          <w:color w:val="000000"/>
          <w:sz w:val="32"/>
          <w:szCs w:val="32"/>
          <w:highlight w:val="yellow"/>
        </w:rPr>
      </w:pPr>
      <w:r>
        <w:rPr>
          <w:rFonts w:ascii="仿宋_GB2312" w:eastAsia="仿宋_GB2312" w:cs="仿宋_GB2312"/>
          <w:sz w:val="32"/>
          <w:szCs w:val="32"/>
        </w:rPr>
        <w:t>2020</w:t>
      </w:r>
      <w:r>
        <w:rPr>
          <w:rFonts w:hint="eastAsia" w:ascii="仿宋_GB2312" w:eastAsia="仿宋_GB2312" w:cs="仿宋_GB2312"/>
          <w:sz w:val="32"/>
          <w:szCs w:val="32"/>
        </w:rPr>
        <w:t>年期末，我单位共有车辆</w:t>
      </w:r>
      <w:r>
        <w:rPr>
          <w:rFonts w:ascii="仿宋_GB2312" w:eastAsia="仿宋_GB2312" w:cs="仿宋_GB2312"/>
          <w:sz w:val="32"/>
          <w:szCs w:val="32"/>
        </w:rPr>
        <w:t>0</w:t>
      </w:r>
      <w:r>
        <w:rPr>
          <w:rFonts w:hint="eastAsia" w:ascii="仿宋_GB2312" w:eastAsia="仿宋_GB2312" w:cs="仿宋_GB2312"/>
          <w:sz w:val="32"/>
          <w:szCs w:val="32"/>
        </w:rPr>
        <w:t>辆，其中：一般公务用车</w:t>
      </w:r>
      <w:r>
        <w:rPr>
          <w:rFonts w:ascii="仿宋_GB2312" w:eastAsia="仿宋_GB2312" w:cs="仿宋_GB2312"/>
          <w:sz w:val="32"/>
          <w:szCs w:val="32"/>
        </w:rPr>
        <w:t>0</w:t>
      </w:r>
      <w:r>
        <w:rPr>
          <w:rFonts w:hint="eastAsia" w:ascii="仿宋_GB2312" w:eastAsia="仿宋_GB2312" w:cs="仿宋_GB2312"/>
          <w:sz w:val="32"/>
          <w:szCs w:val="32"/>
        </w:rPr>
        <w:t>辆、一般执法执勤车辆</w:t>
      </w:r>
      <w:r>
        <w:rPr>
          <w:rFonts w:ascii="仿宋_GB2312" w:eastAsia="仿宋_GB2312" w:cs="仿宋_GB2312"/>
          <w:sz w:val="32"/>
          <w:szCs w:val="32"/>
        </w:rPr>
        <w:t>0</w:t>
      </w:r>
      <w:r>
        <w:rPr>
          <w:rFonts w:hint="eastAsia" w:ascii="仿宋_GB2312" w:eastAsia="仿宋_GB2312" w:cs="仿宋_GB2312"/>
          <w:sz w:val="32"/>
          <w:szCs w:val="32"/>
        </w:rPr>
        <w:t>辆、特种专业技术用车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辆，其他用车主要是离退休干部用车</w:t>
      </w:r>
      <w:r>
        <w:rPr>
          <w:rFonts w:ascii="仿宋_GB2312" w:eastAsia="仿宋_GB2312" w:cs="仿宋_GB2312"/>
          <w:sz w:val="32"/>
          <w:szCs w:val="32"/>
        </w:rPr>
        <w:t>0</w:t>
      </w:r>
      <w:r>
        <w:rPr>
          <w:rFonts w:hint="eastAsia" w:ascii="仿宋_GB2312" w:eastAsia="仿宋_GB2312" w:cs="仿宋_GB2312"/>
          <w:sz w:val="32"/>
          <w:szCs w:val="32"/>
        </w:rPr>
        <w:t>辆、应急保障车辆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套，单位价值</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套。</w:t>
      </w:r>
    </w:p>
    <w:p>
      <w:pPr>
        <w:ind w:firstLine="709"/>
        <w:rPr>
          <w:rFonts w:ascii="仿宋_GB2312" w:eastAsia="仿宋_GB2312" w:cs="Times New Roman"/>
          <w:b/>
          <w:bCs/>
          <w:sz w:val="32"/>
          <w:szCs w:val="32"/>
        </w:rPr>
      </w:pPr>
      <w:r>
        <w:rPr>
          <w:rFonts w:hint="eastAsia" w:ascii="仿宋_GB2312" w:eastAsia="仿宋_GB2312" w:cs="仿宋_GB2312"/>
          <w:b/>
          <w:bCs/>
          <w:sz w:val="32"/>
          <w:szCs w:val="32"/>
        </w:rPr>
        <w:t>（五）专项转移支付情况</w:t>
      </w:r>
    </w:p>
    <w:p>
      <w:pPr>
        <w:ind w:firstLine="700" w:firstLineChars="219"/>
        <w:rPr>
          <w:rFonts w:ascii="黑体" w:hAnsi="宋体" w:eastAsia="黑体" w:cs="Times New Roman"/>
          <w:sz w:val="32"/>
          <w:szCs w:val="32"/>
        </w:rPr>
      </w:pPr>
      <w:r>
        <w:rPr>
          <w:rFonts w:hint="eastAsia" w:ascii="仿宋_GB2312" w:eastAsia="仿宋_GB2312" w:cs="仿宋_GB2312"/>
          <w:sz w:val="32"/>
          <w:szCs w:val="32"/>
        </w:rPr>
        <w:t>我单位暂无负责的专项转移支付项目。</w:t>
      </w:r>
    </w:p>
    <w:p>
      <w:pPr>
        <w:ind w:firstLine="709"/>
        <w:jc w:val="center"/>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名词解释</w:t>
      </w:r>
    </w:p>
    <w:p>
      <w:pPr>
        <w:ind w:firstLine="709"/>
        <w:rPr>
          <w:rFonts w:ascii="仿宋_GB2312" w:eastAsia="仿宋_GB2312" w:cs="Times New Roman"/>
          <w:sz w:val="32"/>
          <w:szCs w:val="32"/>
        </w:rPr>
      </w:pPr>
      <w:r>
        <w:rPr>
          <w:rFonts w:hint="eastAsia" w:ascii="仿宋_GB2312" w:eastAsia="仿宋_GB2312" w:cs="仿宋_GB2312"/>
          <w:sz w:val="32"/>
          <w:szCs w:val="32"/>
        </w:rPr>
        <w:t>一、财政拨款收入：是指市级财政当年拨付的资金。</w:t>
      </w:r>
    </w:p>
    <w:p>
      <w:pPr>
        <w:ind w:firstLine="709"/>
        <w:rPr>
          <w:rFonts w:ascii="仿宋_GB2312" w:eastAsia="仿宋_GB2312" w:cs="Times New Roman"/>
          <w:sz w:val="32"/>
          <w:szCs w:val="32"/>
        </w:rPr>
      </w:pPr>
      <w:r>
        <w:rPr>
          <w:rFonts w:hint="eastAsia" w:ascii="仿宋_GB2312" w:eastAsia="仿宋_GB2312" w:cs="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cs="Times New Roman"/>
          <w:sz w:val="32"/>
          <w:szCs w:val="32"/>
        </w:rPr>
      </w:pPr>
      <w:r>
        <w:rPr>
          <w:rFonts w:hint="eastAsia" w:ascii="仿宋_GB2312" w:eastAsia="仿宋_GB2312" w:cs="仿宋_GB2312"/>
          <w:sz w:val="32"/>
          <w:szCs w:val="32"/>
        </w:rPr>
        <w:t>三、事业收入：是指事业单位开展专业活动及辅助活动所取得的收入，不包括教育收费。</w:t>
      </w:r>
    </w:p>
    <w:p>
      <w:pPr>
        <w:ind w:firstLine="709"/>
        <w:rPr>
          <w:rFonts w:ascii="仿宋_GB2312" w:eastAsia="仿宋_GB2312" w:cs="Times New Roman"/>
          <w:sz w:val="32"/>
          <w:szCs w:val="32"/>
        </w:rPr>
      </w:pPr>
      <w:r>
        <w:rPr>
          <w:rFonts w:hint="eastAsia" w:ascii="仿宋_GB2312" w:eastAsia="仿宋_GB2312" w:cs="仿宋_GB2312"/>
          <w:sz w:val="32"/>
          <w:szCs w:val="32"/>
        </w:rPr>
        <w:t>四、事业单位经营收入：是指事业单位在专业业务活动及其辅助活动之外开展独立核算经营活动取得的收入。</w:t>
      </w:r>
    </w:p>
    <w:p>
      <w:pPr>
        <w:ind w:firstLine="709"/>
        <w:rPr>
          <w:rFonts w:ascii="仿宋_GB2312" w:eastAsia="仿宋_GB2312" w:cs="Times New Roman"/>
          <w:sz w:val="32"/>
          <w:szCs w:val="32"/>
        </w:rPr>
      </w:pPr>
      <w:r>
        <w:rPr>
          <w:rFonts w:hint="eastAsia" w:ascii="仿宋_GB2312" w:eastAsia="仿宋_GB2312" w:cs="仿宋_GB2312"/>
          <w:sz w:val="32"/>
          <w:szCs w:val="32"/>
        </w:rPr>
        <w:t>五、其他收入：是指单位取得的除“财政拨款”、“事业收入”、“事业单位经营收入”等以外的收入。</w:t>
      </w:r>
    </w:p>
    <w:p>
      <w:pPr>
        <w:ind w:firstLine="709"/>
        <w:rPr>
          <w:rFonts w:ascii="仿宋_GB2312" w:eastAsia="仿宋_GB2312" w:cs="Times New Roman"/>
          <w:sz w:val="32"/>
          <w:szCs w:val="32"/>
        </w:rPr>
      </w:pPr>
      <w:r>
        <w:rPr>
          <w:rFonts w:hint="eastAsia" w:ascii="仿宋_GB2312" w:eastAsia="仿宋_GB2312" w:cs="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cs="Times New Roman"/>
          <w:sz w:val="32"/>
          <w:szCs w:val="32"/>
        </w:rPr>
      </w:pPr>
      <w:r>
        <w:rPr>
          <w:rFonts w:hint="eastAsia" w:ascii="仿宋_GB2312" w:eastAsia="仿宋_GB2312" w:cs="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cs="Times New Roman"/>
          <w:sz w:val="32"/>
          <w:szCs w:val="32"/>
        </w:rPr>
      </w:pPr>
      <w:r>
        <w:rPr>
          <w:rFonts w:hint="eastAsia" w:ascii="仿宋_GB2312" w:eastAsia="仿宋_GB2312" w:cs="仿宋_GB2312"/>
          <w:sz w:val="32"/>
          <w:szCs w:val="32"/>
        </w:rPr>
        <w:t>八、项目支出：是指在基本支出之外，为完成特定的行政工作任务或事业发展目标所发生的支出。</w:t>
      </w:r>
    </w:p>
    <w:p>
      <w:pPr>
        <w:ind w:firstLine="709"/>
        <w:rPr>
          <w:rFonts w:ascii="仿宋_GB2312" w:eastAsia="仿宋_GB2312" w:cs="Times New Roman"/>
          <w:sz w:val="32"/>
          <w:szCs w:val="32"/>
        </w:rPr>
      </w:pPr>
      <w:r>
        <w:rPr>
          <w:rFonts w:hint="eastAsia" w:ascii="仿宋_GB2312" w:eastAsia="仿宋_GB2312" w:cs="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cs="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709"/>
        <w:rPr>
          <w:rFonts w:ascii="仿宋_GB2312" w:eastAsia="仿宋_GB2312" w:cs="Times New Roman"/>
          <w:sz w:val="32"/>
          <w:szCs w:val="32"/>
        </w:rPr>
      </w:pPr>
      <w:r>
        <w:rPr>
          <w:rFonts w:hint="eastAsia" w:ascii="仿宋_GB2312" w:eastAsia="仿宋_GB2312" w:cs="仿宋_GB2312"/>
          <w:sz w:val="32"/>
          <w:szCs w:val="3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360" w:lineRule="auto"/>
        <w:ind w:firstLine="709"/>
        <w:rPr>
          <w:rFonts w:ascii="仿宋_GB2312" w:eastAsia="仿宋_GB2312" w:cs="Times New Roman"/>
          <w:sz w:val="32"/>
          <w:szCs w:val="32"/>
        </w:rPr>
      </w:pPr>
    </w:p>
    <w:p>
      <w:pPr>
        <w:spacing w:line="360" w:lineRule="auto"/>
        <w:ind w:firstLine="426"/>
        <w:rPr>
          <w:rFonts w:ascii="仿宋_GB2312" w:hAnsi="仿宋" w:eastAsia="仿宋_GB2312"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2021</w:t>
      </w:r>
      <w:r>
        <w:rPr>
          <w:rFonts w:hint="eastAsia" w:ascii="仿宋_GB2312" w:hAnsi="仿宋" w:eastAsia="仿宋_GB2312" w:cs="仿宋_GB2312"/>
          <w:sz w:val="32"/>
          <w:szCs w:val="32"/>
        </w:rPr>
        <w:t>年度单位预算表</w:t>
      </w:r>
    </w:p>
    <w:p>
      <w:pPr>
        <w:snapToGrid w:val="0"/>
        <w:spacing w:line="360" w:lineRule="auto"/>
        <w:ind w:firstLine="426"/>
        <w:rPr>
          <w:rFonts w:ascii="仿宋_GB2312" w:hAnsi="仿宋" w:eastAsia="仿宋_GB2312" w:cs="Times New Roman"/>
          <w:sz w:val="32"/>
          <w:szCs w:val="32"/>
        </w:rPr>
      </w:pPr>
      <w:r>
        <w:rPr>
          <w:rFonts w:hint="eastAsia" w:ascii="仿宋_GB2312" w:hAnsi="仿宋" w:eastAsia="仿宋_GB2312" w:cs="仿宋_GB2312"/>
          <w:sz w:val="32"/>
          <w:szCs w:val="32"/>
        </w:rPr>
        <w:t>一、单位收支总体情况表</w:t>
      </w:r>
    </w:p>
    <w:p>
      <w:pPr>
        <w:snapToGrid w:val="0"/>
        <w:spacing w:line="360" w:lineRule="auto"/>
        <w:ind w:firstLine="426"/>
        <w:rPr>
          <w:rFonts w:ascii="仿宋_GB2312" w:hAnsi="仿宋" w:eastAsia="仿宋_GB2312" w:cs="Times New Roman"/>
          <w:sz w:val="32"/>
          <w:szCs w:val="32"/>
        </w:rPr>
      </w:pPr>
      <w:r>
        <w:rPr>
          <w:rFonts w:hint="eastAsia" w:ascii="仿宋_GB2312" w:hAnsi="仿宋" w:eastAsia="仿宋_GB2312" w:cs="仿宋_GB2312"/>
          <w:sz w:val="32"/>
          <w:szCs w:val="32"/>
        </w:rPr>
        <w:t>二、单位收入总体情况表</w:t>
      </w:r>
    </w:p>
    <w:p>
      <w:pPr>
        <w:snapToGrid w:val="0"/>
        <w:spacing w:line="360" w:lineRule="auto"/>
        <w:ind w:firstLine="426"/>
        <w:rPr>
          <w:rFonts w:ascii="仿宋_GB2312" w:hAnsi="仿宋" w:eastAsia="仿宋_GB2312" w:cs="Times New Roman"/>
          <w:sz w:val="32"/>
          <w:szCs w:val="32"/>
        </w:rPr>
      </w:pPr>
      <w:r>
        <w:rPr>
          <w:rFonts w:hint="eastAsia" w:ascii="仿宋_GB2312" w:hAnsi="仿宋" w:eastAsia="仿宋_GB2312" w:cs="仿宋_GB2312"/>
          <w:sz w:val="32"/>
          <w:szCs w:val="32"/>
        </w:rPr>
        <w:t>三、单位支出总体情况表</w:t>
      </w:r>
    </w:p>
    <w:p>
      <w:pPr>
        <w:snapToGrid w:val="0"/>
        <w:spacing w:line="360" w:lineRule="auto"/>
        <w:ind w:firstLine="426"/>
        <w:rPr>
          <w:rFonts w:ascii="仿宋_GB2312" w:hAnsi="仿宋" w:eastAsia="仿宋_GB2312" w:cs="Times New Roman"/>
          <w:sz w:val="32"/>
          <w:szCs w:val="32"/>
        </w:rPr>
      </w:pPr>
      <w:r>
        <w:rPr>
          <w:rFonts w:hint="eastAsia" w:ascii="仿宋_GB2312" w:hAnsi="仿宋" w:eastAsia="仿宋_GB2312" w:cs="仿宋_GB2312"/>
          <w:sz w:val="32"/>
          <w:szCs w:val="32"/>
        </w:rPr>
        <w:t>四、财政拨款收支总体情况表</w:t>
      </w:r>
    </w:p>
    <w:p>
      <w:pPr>
        <w:snapToGrid w:val="0"/>
        <w:spacing w:line="360" w:lineRule="auto"/>
        <w:ind w:firstLine="426"/>
        <w:rPr>
          <w:rFonts w:ascii="仿宋_GB2312" w:hAnsi="仿宋" w:eastAsia="仿宋_GB2312" w:cs="Times New Roman"/>
          <w:sz w:val="32"/>
          <w:szCs w:val="32"/>
        </w:rPr>
      </w:pPr>
      <w:r>
        <w:rPr>
          <w:rFonts w:hint="eastAsia" w:ascii="仿宋_GB2312" w:hAnsi="仿宋" w:eastAsia="仿宋_GB2312" w:cs="仿宋_GB2312"/>
          <w:sz w:val="32"/>
          <w:szCs w:val="32"/>
        </w:rPr>
        <w:t>五、一般公共预算支出情况表</w:t>
      </w:r>
    </w:p>
    <w:p>
      <w:pPr>
        <w:snapToGrid w:val="0"/>
        <w:spacing w:line="360" w:lineRule="auto"/>
        <w:ind w:firstLine="426"/>
        <w:rPr>
          <w:rFonts w:ascii="仿宋_GB2312" w:hAnsi="仿宋" w:eastAsia="仿宋_GB2312" w:cs="Times New Roman"/>
          <w:sz w:val="32"/>
          <w:szCs w:val="32"/>
        </w:rPr>
      </w:pPr>
      <w:r>
        <w:rPr>
          <w:rFonts w:hint="eastAsia" w:ascii="仿宋_GB2312" w:hAnsi="仿宋" w:eastAsia="仿宋_GB2312" w:cs="仿宋_GB2312"/>
          <w:sz w:val="32"/>
          <w:szCs w:val="32"/>
        </w:rPr>
        <w:t>六、一般公共预算基本支出情况表</w:t>
      </w:r>
    </w:p>
    <w:p>
      <w:pPr>
        <w:snapToGrid w:val="0"/>
        <w:spacing w:line="360" w:lineRule="auto"/>
        <w:ind w:firstLine="426"/>
        <w:rPr>
          <w:rFonts w:ascii="仿宋_GB2312" w:hAnsi="仿宋" w:eastAsia="仿宋_GB2312" w:cs="Times New Roman"/>
          <w:sz w:val="32"/>
          <w:szCs w:val="32"/>
        </w:rPr>
      </w:pPr>
      <w:r>
        <w:rPr>
          <w:rFonts w:hint="eastAsia" w:ascii="仿宋_GB2312" w:hAnsi="仿宋" w:eastAsia="仿宋_GB2312" w:cs="仿宋_GB2312"/>
          <w:sz w:val="32"/>
          <w:szCs w:val="32"/>
        </w:rPr>
        <w:t>七、一般公共预算“三公”经费支出情况表</w:t>
      </w:r>
    </w:p>
    <w:p>
      <w:pPr>
        <w:snapToGrid w:val="0"/>
        <w:spacing w:line="360" w:lineRule="auto"/>
        <w:ind w:firstLine="426"/>
        <w:rPr>
          <w:rFonts w:ascii="仿宋_GB2312" w:hAnsi="仿宋" w:eastAsia="仿宋_GB2312" w:cs="Times New Roman"/>
          <w:sz w:val="32"/>
          <w:szCs w:val="32"/>
        </w:rPr>
      </w:pPr>
      <w:r>
        <w:rPr>
          <w:rFonts w:hint="eastAsia" w:ascii="仿宋_GB2312" w:hAnsi="仿宋" w:eastAsia="仿宋_GB2312" w:cs="仿宋_GB2312"/>
          <w:sz w:val="32"/>
          <w:szCs w:val="32"/>
        </w:rPr>
        <w:t>八、政府性基金预算支出情况表</w:t>
      </w:r>
    </w:p>
    <w:p>
      <w:pPr>
        <w:snapToGrid w:val="0"/>
        <w:spacing w:line="360" w:lineRule="auto"/>
        <w:ind w:firstLine="425" w:firstLineChars="133"/>
        <w:rPr>
          <w:rFonts w:ascii="仿宋_GB2312" w:hAnsi="仿宋" w:eastAsia="仿宋_GB2312" w:cs="Times New Roman"/>
          <w:sz w:val="32"/>
          <w:szCs w:val="32"/>
        </w:rPr>
      </w:pPr>
      <w:r>
        <w:rPr>
          <w:rFonts w:hint="eastAsia" w:ascii="仿宋_GB2312" w:hAnsi="仿宋" w:eastAsia="仿宋_GB2312" w:cs="仿宋_GB2312"/>
          <w:sz w:val="32"/>
          <w:szCs w:val="32"/>
        </w:rPr>
        <w:t>九、支出经济分类汇总表</w:t>
      </w:r>
    </w:p>
    <w:p>
      <w:pPr>
        <w:spacing w:line="360" w:lineRule="auto"/>
        <w:ind w:firstLine="426"/>
        <w:rPr>
          <w:rFonts w:ascii="仿宋_GB2312" w:hAnsi="宋体" w:eastAsia="仿宋_GB2312" w:cs="Times New Roman"/>
          <w:sz w:val="32"/>
          <w:szCs w:val="32"/>
        </w:rPr>
      </w:pPr>
      <w:r>
        <w:rPr>
          <w:rFonts w:ascii="仿宋_GB2312" w:hAnsi="宋体" w:eastAsia="仿宋_GB2312" w:cs="Times New Roman"/>
          <w:kern w:val="2"/>
          <w:sz w:val="32"/>
          <w:szCs w:val="32"/>
          <w:lang w:val="en-US" w:eastAsia="zh-CN" w:bidi="ar-SA"/>
        </w:rPr>
        <w:object>
          <v:shape id="_x0000_i1025" o:spt="75" type="#_x0000_t75" style="height:65.25pt;width:72pt;" o:ole="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o:OLEObject Type="Embed" ProgID="Excel.Sheet.8" ShapeID="_x0000_i1025" DrawAspect="Icon" ObjectID="_1468075725" r:id="rId5">
            <o:LockedField>false</o:LockedField>
          </o:OLEObject>
        </w:objec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rFonts w:ascii="Calibri" w:hAnsi="Calibri" w:eastAsia="宋体" w:cs="Calibri"/>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cs="Times New Roman"/>
                  </w:rPr>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E665B"/>
    <w:multiLevelType w:val="singleLevel"/>
    <w:tmpl w:val="268E665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B8C02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uiPriority w:val="99"/>
    <w:pPr>
      <w:ind w:firstLine="420"/>
    </w:pPr>
  </w:style>
  <w:style w:type="character" w:customStyle="1" w:styleId="8">
    <w:name w:val="Balloon Text Char Char"/>
    <w:basedOn w:val="6"/>
    <w:link w:val="2"/>
    <w:uiPriority w:val="99"/>
    <w:rPr>
      <w:sz w:val="18"/>
      <w:szCs w:val="18"/>
    </w:rPr>
  </w:style>
  <w:style w:type="character" w:customStyle="1" w:styleId="9">
    <w:name w:val="Footer Char"/>
    <w:basedOn w:val="6"/>
    <w:link w:val="3"/>
    <w:uiPriority w:val="99"/>
    <w:rPr>
      <w:sz w:val="18"/>
      <w:szCs w:val="18"/>
    </w:rPr>
  </w:style>
  <w:style w:type="character" w:customStyle="1" w:styleId="10">
    <w:name w:val="Header Char"/>
    <w:basedOn w:val="6"/>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8</Pages>
  <Words>481</Words>
  <Characters>2742</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琳琳小不点儿</cp:lastModifiedBy>
  <cp:lastPrinted>2022-05-18T02:02:00Z</cp:lastPrinted>
  <dcterms:modified xsi:type="dcterms:W3CDTF">2022-09-02T01:45:18Z</dcterms:modified>
  <dc:title>邓州市2021年职介中心单位预算基本情况说明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6365207231B548CCA6337FA63A345ACB</vt:lpwstr>
  </property>
</Properties>
</file>