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2025年市本级一般公共预算“三公”经费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支出预算的说明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汇总市本级部门预算，2025年市本级一般公共预算安排“三公”经费支出预算4184万元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，比上年减少73万元，下降1.7%。其中：因公出国（境）费0万元；公务接待费1645万元，下降1.6%；公务用车运行维护费2339万元，下降1.1%；公务用车购置费200万元，下降9.1%。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公务接待费、公务用车运行维护费和公务用车购置费下降的主要原因是：市直各部门严格落实厉行节约规定，进一步压缩相关支出。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2025-03-05T03:26:28Z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